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XSpec="center" w:tblpY="3795"/>
        <w:tblW w:w="0" w:type="auto"/>
        <w:tblLook w:val="04A0" w:firstRow="1" w:lastRow="0" w:firstColumn="1" w:lastColumn="0" w:noHBand="0" w:noVBand="1"/>
      </w:tblPr>
      <w:tblGrid>
        <w:gridCol w:w="3900"/>
        <w:gridCol w:w="3900"/>
      </w:tblGrid>
      <w:tr w:rsidR="00556BB4" w14:paraId="7AEC0AAA" w14:textId="77777777" w:rsidTr="001D7379">
        <w:trPr>
          <w:trHeight w:val="1006"/>
        </w:trPr>
        <w:tc>
          <w:tcPr>
            <w:tcW w:w="3900" w:type="dxa"/>
          </w:tcPr>
          <w:p w14:paraId="332EEDDE" w14:textId="77777777" w:rsidR="00556BB4" w:rsidRPr="001D7379" w:rsidRDefault="00556BB4" w:rsidP="00066DDB">
            <w:pPr>
              <w:jc w:val="center"/>
              <w:rPr>
                <w:b/>
              </w:rPr>
            </w:pPr>
            <w:r w:rsidRPr="001D7379">
              <w:rPr>
                <w:b/>
              </w:rPr>
              <w:t>Agenda Item No.</w:t>
            </w:r>
          </w:p>
        </w:tc>
        <w:tc>
          <w:tcPr>
            <w:tcW w:w="3900" w:type="dxa"/>
          </w:tcPr>
          <w:p w14:paraId="2A6835FE" w14:textId="77777777" w:rsidR="00556BB4" w:rsidRPr="00746314" w:rsidRDefault="00556BB4" w:rsidP="00066DDB">
            <w:pPr>
              <w:jc w:val="both"/>
              <w:rPr>
                <w:bCs/>
              </w:rPr>
            </w:pPr>
          </w:p>
        </w:tc>
      </w:tr>
      <w:tr w:rsidR="00556BB4" w14:paraId="0F4EF33E" w14:textId="77777777" w:rsidTr="001D7379">
        <w:trPr>
          <w:trHeight w:val="950"/>
        </w:trPr>
        <w:tc>
          <w:tcPr>
            <w:tcW w:w="3900" w:type="dxa"/>
          </w:tcPr>
          <w:p w14:paraId="4C622134" w14:textId="77777777" w:rsidR="00556BB4" w:rsidRPr="001D7379" w:rsidRDefault="00556BB4" w:rsidP="00066DDB">
            <w:pPr>
              <w:jc w:val="center"/>
              <w:rPr>
                <w:b/>
              </w:rPr>
            </w:pPr>
            <w:r w:rsidRPr="001D7379">
              <w:rPr>
                <w:b/>
              </w:rPr>
              <w:t>Title</w:t>
            </w:r>
          </w:p>
        </w:tc>
        <w:tc>
          <w:tcPr>
            <w:tcW w:w="3900" w:type="dxa"/>
          </w:tcPr>
          <w:p w14:paraId="6BA0B50F" w14:textId="1AC59440" w:rsidR="00556BB4" w:rsidRPr="00746314" w:rsidRDefault="00667B4D" w:rsidP="00066DDB">
            <w:pPr>
              <w:ind w:firstLine="0"/>
              <w:jc w:val="both"/>
              <w:rPr>
                <w:bCs/>
              </w:rPr>
            </w:pPr>
            <w:r>
              <w:rPr>
                <w:bCs/>
              </w:rPr>
              <w:t>CSP Annual Budgeting Process</w:t>
            </w:r>
          </w:p>
        </w:tc>
      </w:tr>
      <w:tr w:rsidR="00556BB4" w14:paraId="6A83A290" w14:textId="77777777" w:rsidTr="001D7379">
        <w:trPr>
          <w:trHeight w:val="1006"/>
        </w:trPr>
        <w:tc>
          <w:tcPr>
            <w:tcW w:w="3900" w:type="dxa"/>
          </w:tcPr>
          <w:p w14:paraId="62D64F7D" w14:textId="77777777" w:rsidR="00556BB4" w:rsidRPr="001D7379" w:rsidRDefault="00556BB4" w:rsidP="00066DDB">
            <w:pPr>
              <w:jc w:val="center"/>
              <w:rPr>
                <w:b/>
              </w:rPr>
            </w:pPr>
            <w:r w:rsidRPr="001D7379">
              <w:rPr>
                <w:b/>
              </w:rPr>
              <w:t>Author</w:t>
            </w:r>
          </w:p>
        </w:tc>
        <w:tc>
          <w:tcPr>
            <w:tcW w:w="3900" w:type="dxa"/>
          </w:tcPr>
          <w:p w14:paraId="52B45091" w14:textId="377FFD4E" w:rsidR="00556BB4" w:rsidRPr="00746314" w:rsidRDefault="00556BB4" w:rsidP="00066DDB">
            <w:pPr>
              <w:ind w:firstLine="0"/>
              <w:jc w:val="both"/>
              <w:rPr>
                <w:bCs/>
              </w:rPr>
            </w:pPr>
            <w:r w:rsidRPr="00746314">
              <w:rPr>
                <w:bCs/>
              </w:rPr>
              <w:t>Thomas Fernandez Debets</w:t>
            </w:r>
            <w:r w:rsidR="00667B4D">
              <w:rPr>
                <w:bCs/>
              </w:rPr>
              <w:t xml:space="preserve"> (Deputy President – Clubs &amp; Societies)</w:t>
            </w:r>
          </w:p>
        </w:tc>
      </w:tr>
      <w:tr w:rsidR="00556BB4" w14:paraId="36526CE8" w14:textId="77777777" w:rsidTr="001D7379">
        <w:trPr>
          <w:trHeight w:val="950"/>
        </w:trPr>
        <w:tc>
          <w:tcPr>
            <w:tcW w:w="3900" w:type="dxa"/>
          </w:tcPr>
          <w:p w14:paraId="570070FD" w14:textId="77777777" w:rsidR="00556BB4" w:rsidRPr="001D7379" w:rsidRDefault="00556BB4" w:rsidP="00066DDB">
            <w:pPr>
              <w:jc w:val="center"/>
              <w:rPr>
                <w:b/>
              </w:rPr>
            </w:pPr>
            <w:r w:rsidRPr="001D7379">
              <w:rPr>
                <w:b/>
              </w:rPr>
              <w:t>Executive summary</w:t>
            </w:r>
          </w:p>
        </w:tc>
        <w:tc>
          <w:tcPr>
            <w:tcW w:w="3900" w:type="dxa"/>
          </w:tcPr>
          <w:p w14:paraId="46FB6B5B" w14:textId="51E7C08A" w:rsidR="00556BB4" w:rsidRPr="00746314" w:rsidRDefault="00746314" w:rsidP="00066DDB">
            <w:pPr>
              <w:ind w:firstLine="0"/>
              <w:jc w:val="both"/>
              <w:rPr>
                <w:bCs/>
              </w:rPr>
            </w:pPr>
            <w:r>
              <w:rPr>
                <w:bCs/>
              </w:rPr>
              <w:t xml:space="preserve">This report provides an </w:t>
            </w:r>
            <w:r w:rsidR="00667B4D">
              <w:rPr>
                <w:bCs/>
              </w:rPr>
              <w:t xml:space="preserve">overview of the Annual Budgeting </w:t>
            </w:r>
            <w:r w:rsidR="00283F60">
              <w:rPr>
                <w:bCs/>
              </w:rPr>
              <w:t>process for Clubs, Societies &amp; Projects and this year’s timeline for all stakeholders involved</w:t>
            </w:r>
          </w:p>
        </w:tc>
      </w:tr>
      <w:tr w:rsidR="00556BB4" w14:paraId="30D1D51F" w14:textId="77777777" w:rsidTr="001D7379">
        <w:trPr>
          <w:trHeight w:val="1006"/>
        </w:trPr>
        <w:tc>
          <w:tcPr>
            <w:tcW w:w="3900" w:type="dxa"/>
          </w:tcPr>
          <w:p w14:paraId="1328DADF" w14:textId="77777777" w:rsidR="00556BB4" w:rsidRPr="001D7379" w:rsidRDefault="00556BB4" w:rsidP="00066DDB">
            <w:pPr>
              <w:jc w:val="center"/>
              <w:rPr>
                <w:b/>
              </w:rPr>
            </w:pPr>
            <w:r w:rsidRPr="001D7379">
              <w:rPr>
                <w:b/>
              </w:rPr>
              <w:t>Purpose</w:t>
            </w:r>
          </w:p>
        </w:tc>
        <w:tc>
          <w:tcPr>
            <w:tcW w:w="3900" w:type="dxa"/>
          </w:tcPr>
          <w:p w14:paraId="216167A4" w14:textId="77777777" w:rsidR="00556BB4" w:rsidRPr="00746314" w:rsidRDefault="00556BB4" w:rsidP="00066DDB">
            <w:pPr>
              <w:jc w:val="both"/>
              <w:rPr>
                <w:bCs/>
              </w:rPr>
            </w:pPr>
          </w:p>
        </w:tc>
      </w:tr>
      <w:tr w:rsidR="00556BB4" w14:paraId="0E6D44D9" w14:textId="77777777" w:rsidTr="001D7379">
        <w:trPr>
          <w:trHeight w:val="950"/>
        </w:trPr>
        <w:tc>
          <w:tcPr>
            <w:tcW w:w="3900" w:type="dxa"/>
          </w:tcPr>
          <w:p w14:paraId="7CE9D83B" w14:textId="77777777" w:rsidR="00556BB4" w:rsidRPr="001D7379" w:rsidRDefault="00556BB4" w:rsidP="00066DDB">
            <w:pPr>
              <w:jc w:val="center"/>
              <w:rPr>
                <w:b/>
              </w:rPr>
            </w:pPr>
            <w:r w:rsidRPr="001D7379">
              <w:rPr>
                <w:b/>
              </w:rPr>
              <w:t>Decision/action required</w:t>
            </w:r>
          </w:p>
        </w:tc>
        <w:tc>
          <w:tcPr>
            <w:tcW w:w="3900" w:type="dxa"/>
          </w:tcPr>
          <w:p w14:paraId="321944B3" w14:textId="1739F77A" w:rsidR="00556BB4" w:rsidRPr="00746314" w:rsidRDefault="00556BB4" w:rsidP="00066DDB">
            <w:pPr>
              <w:ind w:firstLine="0"/>
              <w:jc w:val="both"/>
              <w:rPr>
                <w:bCs/>
              </w:rPr>
            </w:pPr>
            <w:r w:rsidRPr="00746314">
              <w:rPr>
                <w:bCs/>
              </w:rPr>
              <w:t>For information</w:t>
            </w:r>
          </w:p>
        </w:tc>
      </w:tr>
    </w:tbl>
    <w:p w14:paraId="10F6E6B1" w14:textId="77777777" w:rsidR="00DB09EF" w:rsidRDefault="00556BB4" w:rsidP="00556BB4">
      <w:pPr>
        <w:jc w:val="center"/>
      </w:pPr>
      <w:r>
        <w:rPr>
          <w:noProof/>
        </w:rPr>
        <w:drawing>
          <wp:inline distT="0" distB="0" distL="0" distR="0" wp14:anchorId="476CBF86" wp14:editId="31FC5FD5">
            <wp:extent cx="2024118" cy="9239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006" cy="93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FCCE11" w14:textId="77777777" w:rsidR="00556BB4" w:rsidRDefault="00556BB4" w:rsidP="00556BB4">
      <w:pPr>
        <w:jc w:val="center"/>
      </w:pPr>
    </w:p>
    <w:p w14:paraId="7F7A6419" w14:textId="6F961056" w:rsidR="00556BB4" w:rsidRPr="00556BB4" w:rsidRDefault="00556BB4" w:rsidP="00556BB4">
      <w:pPr>
        <w:jc w:val="center"/>
        <w:rPr>
          <w:b/>
          <w:sz w:val="28"/>
          <w:szCs w:val="28"/>
        </w:rPr>
      </w:pPr>
      <w:r w:rsidRPr="00556BB4">
        <w:rPr>
          <w:b/>
          <w:sz w:val="28"/>
          <w:szCs w:val="28"/>
        </w:rPr>
        <w:t xml:space="preserve">Imperial College Union – </w:t>
      </w:r>
      <w:r w:rsidR="00945FFE">
        <w:rPr>
          <w:b/>
          <w:sz w:val="28"/>
          <w:szCs w:val="28"/>
        </w:rPr>
        <w:t>Finance &amp; Risk Committee</w:t>
      </w:r>
    </w:p>
    <w:p w14:paraId="155F1217" w14:textId="77777777" w:rsidR="00556BB4" w:rsidRPr="00556BB4" w:rsidRDefault="00556BB4" w:rsidP="00556BB4">
      <w:pPr>
        <w:jc w:val="center"/>
        <w:rPr>
          <w:sz w:val="24"/>
          <w:szCs w:val="24"/>
        </w:rPr>
      </w:pPr>
      <w:r w:rsidRPr="00556BB4">
        <w:rPr>
          <w:sz w:val="24"/>
          <w:szCs w:val="24"/>
        </w:rPr>
        <w:t xml:space="preserve">Meeting date: </w:t>
      </w:r>
      <w:r w:rsidR="00746314">
        <w:rPr>
          <w:sz w:val="24"/>
          <w:szCs w:val="24"/>
        </w:rPr>
        <w:t>11</w:t>
      </w:r>
      <w:r w:rsidRPr="00556BB4">
        <w:rPr>
          <w:sz w:val="24"/>
          <w:szCs w:val="24"/>
        </w:rPr>
        <w:t>.</w:t>
      </w:r>
      <w:r w:rsidR="00746314">
        <w:rPr>
          <w:sz w:val="24"/>
          <w:szCs w:val="24"/>
        </w:rPr>
        <w:t>12</w:t>
      </w:r>
      <w:r w:rsidRPr="00556BB4">
        <w:rPr>
          <w:sz w:val="24"/>
          <w:szCs w:val="24"/>
        </w:rPr>
        <w:t>.2019</w:t>
      </w:r>
    </w:p>
    <w:p w14:paraId="7B45AB55" w14:textId="77777777" w:rsidR="00556BB4" w:rsidRDefault="00556BB4" w:rsidP="00556BB4">
      <w:pPr>
        <w:jc w:val="center"/>
      </w:pPr>
    </w:p>
    <w:p w14:paraId="3ACAD7D0" w14:textId="77777777" w:rsidR="00556BB4" w:rsidRDefault="00556BB4" w:rsidP="00556BB4">
      <w:pPr>
        <w:jc w:val="center"/>
      </w:pPr>
    </w:p>
    <w:p w14:paraId="12C60AD3" w14:textId="77777777" w:rsidR="00556BB4" w:rsidRDefault="00556BB4" w:rsidP="00556BB4">
      <w:pPr>
        <w:jc w:val="center"/>
      </w:pPr>
    </w:p>
    <w:p w14:paraId="529A0656" w14:textId="77777777" w:rsidR="00556BB4" w:rsidRDefault="00556BB4" w:rsidP="00556BB4">
      <w:pPr>
        <w:jc w:val="center"/>
      </w:pPr>
    </w:p>
    <w:p w14:paraId="79F1E83B" w14:textId="77777777" w:rsidR="00556BB4" w:rsidRDefault="00556BB4" w:rsidP="00556BB4">
      <w:pPr>
        <w:jc w:val="center"/>
      </w:pPr>
    </w:p>
    <w:p w14:paraId="50671B37" w14:textId="77777777" w:rsidR="00556BB4" w:rsidRDefault="00556BB4" w:rsidP="00556BB4">
      <w:pPr>
        <w:jc w:val="center"/>
      </w:pPr>
    </w:p>
    <w:p w14:paraId="1E8BE985" w14:textId="77777777" w:rsidR="00556BB4" w:rsidRDefault="00556BB4" w:rsidP="00556BB4">
      <w:pPr>
        <w:jc w:val="center"/>
      </w:pPr>
    </w:p>
    <w:p w14:paraId="788A534D" w14:textId="77777777" w:rsidR="00556BB4" w:rsidRDefault="00556BB4" w:rsidP="00556BB4">
      <w:pPr>
        <w:jc w:val="center"/>
      </w:pPr>
    </w:p>
    <w:p w14:paraId="12043B89" w14:textId="0439EB7B" w:rsidR="00522B2C" w:rsidRDefault="00522B2C" w:rsidP="00D333FB">
      <w:pPr>
        <w:ind w:firstLine="0"/>
      </w:pPr>
    </w:p>
    <w:p w14:paraId="6D830563" w14:textId="77777777" w:rsidR="00B5593B" w:rsidRDefault="004C2AE4" w:rsidP="00D1509D">
      <w:pPr>
        <w:spacing w:after="80"/>
        <w:jc w:val="both"/>
      </w:pPr>
      <w:r>
        <w:lastRenderedPageBreak/>
        <w:t>CSP Annual Budgeting is a process</w:t>
      </w:r>
      <w:r w:rsidR="00523CBD">
        <w:t xml:space="preserve"> undertaken by Clubs, Societies &amp; Projects (CSPs)</w:t>
      </w:r>
      <w:r w:rsidR="00D94992">
        <w:t xml:space="preserve"> and overseen by the Clubs, Societies &amp; Projects Board (CSPB).</w:t>
      </w:r>
    </w:p>
    <w:p w14:paraId="4F778536" w14:textId="0ABE3297" w:rsidR="00FD1178" w:rsidRDefault="00661ECC" w:rsidP="00D1509D">
      <w:pPr>
        <w:spacing w:after="80"/>
        <w:jc w:val="both"/>
      </w:pPr>
      <w:r>
        <w:t xml:space="preserve">All CSPs </w:t>
      </w:r>
      <w:r w:rsidR="00B5593B">
        <w:t>must submit a budget</w:t>
      </w:r>
      <w:r w:rsidR="008D35E8">
        <w:t xml:space="preserve"> annually. </w:t>
      </w:r>
      <w:r w:rsidR="005B7693">
        <w:t xml:space="preserve">This is an opportunity </w:t>
      </w:r>
      <w:r w:rsidR="0073069F">
        <w:t xml:space="preserve">for them </w:t>
      </w:r>
      <w:r w:rsidR="005B7693">
        <w:t>to reflect on the current academic year’s progress</w:t>
      </w:r>
      <w:r w:rsidR="00225DE5">
        <w:t xml:space="preserve"> in comparison to previous years and the budget</w:t>
      </w:r>
      <w:r w:rsidR="00A97465">
        <w:t xml:space="preserve"> submitted by the previous committee</w:t>
      </w:r>
      <w:r w:rsidR="00225DE5">
        <w:t>.</w:t>
      </w:r>
      <w:r w:rsidR="00B5593B">
        <w:t xml:space="preserve"> </w:t>
      </w:r>
      <w:r w:rsidR="00BE5312">
        <w:t>In this respect, the budget acts as a working document</w:t>
      </w:r>
      <w:r w:rsidR="00AC2AE1">
        <w:t xml:space="preserve"> the CSP should refer to throughout the academic year.</w:t>
      </w:r>
    </w:p>
    <w:p w14:paraId="3DA77AE3" w14:textId="3AF081FA" w:rsidR="00AC2AE1" w:rsidRDefault="00AC2AE1" w:rsidP="00D1509D">
      <w:pPr>
        <w:spacing w:after="80"/>
        <w:jc w:val="both"/>
      </w:pPr>
      <w:r>
        <w:t>CSP Annual Budgeting is also the main opportunity</w:t>
      </w:r>
      <w:r w:rsidR="00D1509D">
        <w:t xml:space="preserve"> for CSPs to apply for financial support from the Union </w:t>
      </w:r>
      <w:r w:rsidR="007823DA">
        <w:t>in the form of Grant.</w:t>
      </w:r>
      <w:r w:rsidR="0087502A">
        <w:t xml:space="preserve"> This pot varies in </w:t>
      </w:r>
      <w:proofErr w:type="gramStart"/>
      <w:r w:rsidR="0087502A">
        <w:t>size</w:t>
      </w:r>
      <w:proofErr w:type="gramEnd"/>
      <w:r w:rsidR="0087502A">
        <w:t xml:space="preserve"> but forms part of the block</w:t>
      </w:r>
      <w:r w:rsidR="00A65418">
        <w:t xml:space="preserve"> grant received from </w:t>
      </w:r>
      <w:r w:rsidR="00550975">
        <w:t xml:space="preserve">the </w:t>
      </w:r>
      <w:r w:rsidR="00A65418">
        <w:t>College. In 2018/19, £</w:t>
      </w:r>
      <w:r w:rsidR="00835535">
        <w:t>420</w:t>
      </w:r>
      <w:r w:rsidR="00490326">
        <w:t xml:space="preserve">,198.49 was allocated to CSPs in </w:t>
      </w:r>
      <w:r w:rsidR="000F3564">
        <w:t>Union Grant. The process, as followed by CSPs and CSPB is detailed below:</w:t>
      </w:r>
    </w:p>
    <w:p w14:paraId="37194A71" w14:textId="60499AA1" w:rsidR="000F3564" w:rsidRDefault="000F3564" w:rsidP="00D1509D">
      <w:pPr>
        <w:spacing w:after="80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3543"/>
        <w:gridCol w:w="4455"/>
      </w:tblGrid>
      <w:tr w:rsidR="0079461D" w:rsidRPr="00EE6950" w14:paraId="05411BBC" w14:textId="122216D6" w:rsidTr="0079461D">
        <w:trPr>
          <w:trHeight w:val="340"/>
        </w:trPr>
        <w:tc>
          <w:tcPr>
            <w:tcW w:w="988" w:type="dxa"/>
          </w:tcPr>
          <w:p w14:paraId="3F395649" w14:textId="77777777" w:rsidR="0079461D" w:rsidRPr="00460EE9" w:rsidRDefault="0079461D" w:rsidP="00D1509D">
            <w:pPr>
              <w:spacing w:after="80"/>
              <w:ind w:firstLine="0"/>
              <w:jc w:val="both"/>
              <w:rPr>
                <w:b/>
              </w:rPr>
            </w:pPr>
          </w:p>
        </w:tc>
        <w:tc>
          <w:tcPr>
            <w:tcW w:w="3543" w:type="dxa"/>
          </w:tcPr>
          <w:p w14:paraId="15B00690" w14:textId="51B3690A" w:rsidR="0079461D" w:rsidRPr="00EE6950" w:rsidRDefault="0079461D" w:rsidP="00D1509D">
            <w:pPr>
              <w:spacing w:after="80"/>
              <w:ind w:firstLine="0"/>
              <w:jc w:val="both"/>
              <w:rPr>
                <w:b/>
              </w:rPr>
            </w:pPr>
            <w:r>
              <w:rPr>
                <w:b/>
              </w:rPr>
              <w:t>Clubs, Societies &amp; Projects (CSPs)</w:t>
            </w:r>
          </w:p>
        </w:tc>
        <w:tc>
          <w:tcPr>
            <w:tcW w:w="4455" w:type="dxa"/>
          </w:tcPr>
          <w:p w14:paraId="1CF88633" w14:textId="27E87331" w:rsidR="0079461D" w:rsidRPr="00EE6950" w:rsidRDefault="0079461D" w:rsidP="00D1509D">
            <w:pPr>
              <w:spacing w:after="80"/>
              <w:ind w:firstLine="0"/>
              <w:jc w:val="both"/>
              <w:rPr>
                <w:b/>
              </w:rPr>
            </w:pPr>
            <w:r w:rsidRPr="00EE6950">
              <w:rPr>
                <w:b/>
              </w:rPr>
              <w:t>C</w:t>
            </w:r>
            <w:r>
              <w:rPr>
                <w:b/>
              </w:rPr>
              <w:t>lubs, Societies &amp; Projects Board (CSPB)</w:t>
            </w:r>
          </w:p>
        </w:tc>
      </w:tr>
      <w:tr w:rsidR="0079461D" w14:paraId="6EA89585" w14:textId="3E05FAC6" w:rsidTr="0079461D">
        <w:trPr>
          <w:trHeight w:val="340"/>
        </w:trPr>
        <w:tc>
          <w:tcPr>
            <w:tcW w:w="988" w:type="dxa"/>
          </w:tcPr>
          <w:p w14:paraId="2DD1C088" w14:textId="3112976F" w:rsidR="0079461D" w:rsidRPr="00460EE9" w:rsidRDefault="0079461D" w:rsidP="00D1509D">
            <w:pPr>
              <w:spacing w:after="80"/>
              <w:ind w:firstLine="0"/>
              <w:jc w:val="both"/>
              <w:rPr>
                <w:b/>
              </w:rPr>
            </w:pPr>
            <w:r w:rsidRPr="00460EE9">
              <w:rPr>
                <w:b/>
              </w:rPr>
              <w:t>Nov</w:t>
            </w:r>
          </w:p>
        </w:tc>
        <w:tc>
          <w:tcPr>
            <w:tcW w:w="3543" w:type="dxa"/>
          </w:tcPr>
          <w:p w14:paraId="62D3F4F3" w14:textId="77777777" w:rsidR="0079461D" w:rsidRDefault="0079461D" w:rsidP="00D1509D">
            <w:pPr>
              <w:spacing w:after="80"/>
              <w:ind w:firstLine="0"/>
              <w:jc w:val="both"/>
            </w:pPr>
          </w:p>
        </w:tc>
        <w:tc>
          <w:tcPr>
            <w:tcW w:w="4455" w:type="dxa"/>
          </w:tcPr>
          <w:p w14:paraId="7868FC6B" w14:textId="1FBA09CB" w:rsidR="0079461D" w:rsidRDefault="0079461D" w:rsidP="00D1509D">
            <w:pPr>
              <w:spacing w:after="80"/>
              <w:ind w:firstLine="0"/>
              <w:jc w:val="both"/>
            </w:pPr>
            <w:r>
              <w:t>Budgeting policy is ratified</w:t>
            </w:r>
          </w:p>
        </w:tc>
      </w:tr>
      <w:tr w:rsidR="0079461D" w14:paraId="59286E84" w14:textId="05ED9CF6" w:rsidTr="0079461D">
        <w:trPr>
          <w:trHeight w:val="290"/>
        </w:trPr>
        <w:tc>
          <w:tcPr>
            <w:tcW w:w="988" w:type="dxa"/>
          </w:tcPr>
          <w:p w14:paraId="547D0ADF" w14:textId="542777E8" w:rsidR="0079461D" w:rsidRPr="00460EE9" w:rsidRDefault="0079461D" w:rsidP="00D1509D">
            <w:pPr>
              <w:spacing w:after="80"/>
              <w:ind w:firstLine="0"/>
              <w:jc w:val="both"/>
              <w:rPr>
                <w:b/>
              </w:rPr>
            </w:pPr>
            <w:r w:rsidRPr="00460EE9">
              <w:rPr>
                <w:b/>
              </w:rPr>
              <w:t>09-Dec</w:t>
            </w:r>
          </w:p>
        </w:tc>
        <w:tc>
          <w:tcPr>
            <w:tcW w:w="3543" w:type="dxa"/>
          </w:tcPr>
          <w:p w14:paraId="5C16FB14" w14:textId="64918E8E" w:rsidR="0079461D" w:rsidRDefault="0079461D" w:rsidP="00D1509D">
            <w:pPr>
              <w:spacing w:after="80"/>
              <w:ind w:firstLine="0"/>
              <w:jc w:val="both"/>
            </w:pPr>
            <w:r>
              <w:t>CSP Annual Budgeting opens</w:t>
            </w:r>
          </w:p>
        </w:tc>
        <w:tc>
          <w:tcPr>
            <w:tcW w:w="4455" w:type="dxa"/>
          </w:tcPr>
          <w:p w14:paraId="78AB27F2" w14:textId="77777777" w:rsidR="0079461D" w:rsidRDefault="0079461D" w:rsidP="00D1509D">
            <w:pPr>
              <w:spacing w:after="80"/>
              <w:ind w:firstLine="0"/>
              <w:jc w:val="both"/>
            </w:pPr>
          </w:p>
        </w:tc>
      </w:tr>
      <w:tr w:rsidR="0079461D" w14:paraId="01359B0E" w14:textId="3CC2876E" w:rsidTr="0079461D">
        <w:trPr>
          <w:trHeight w:val="225"/>
        </w:trPr>
        <w:tc>
          <w:tcPr>
            <w:tcW w:w="988" w:type="dxa"/>
          </w:tcPr>
          <w:p w14:paraId="5DC46FD3" w14:textId="7ADE8C21" w:rsidR="0079461D" w:rsidRPr="00460EE9" w:rsidRDefault="0079461D" w:rsidP="00D1509D">
            <w:pPr>
              <w:spacing w:after="80"/>
              <w:ind w:firstLine="0"/>
              <w:jc w:val="both"/>
              <w:rPr>
                <w:b/>
              </w:rPr>
            </w:pPr>
            <w:r w:rsidRPr="00460EE9">
              <w:rPr>
                <w:b/>
              </w:rPr>
              <w:t>20-Jan</w:t>
            </w:r>
          </w:p>
        </w:tc>
        <w:tc>
          <w:tcPr>
            <w:tcW w:w="3543" w:type="dxa"/>
          </w:tcPr>
          <w:p w14:paraId="5402E3FE" w14:textId="67B5ACE7" w:rsidR="0079461D" w:rsidRDefault="0079461D" w:rsidP="00D1509D">
            <w:pPr>
              <w:spacing w:after="80"/>
              <w:ind w:firstLine="0"/>
              <w:jc w:val="both"/>
            </w:pPr>
            <w:r>
              <w:t>CSP Annual Budgeting closes</w:t>
            </w:r>
          </w:p>
        </w:tc>
        <w:tc>
          <w:tcPr>
            <w:tcW w:w="4455" w:type="dxa"/>
          </w:tcPr>
          <w:p w14:paraId="0DF16829" w14:textId="36CA9137" w:rsidR="0079461D" w:rsidRDefault="0079461D" w:rsidP="00D1509D">
            <w:pPr>
              <w:spacing w:after="80"/>
              <w:ind w:firstLine="0"/>
              <w:jc w:val="both"/>
            </w:pPr>
            <w:r>
              <w:t>MG1 round opens</w:t>
            </w:r>
          </w:p>
        </w:tc>
      </w:tr>
      <w:tr w:rsidR="0079461D" w14:paraId="7F1FDF3D" w14:textId="27E6B4EF" w:rsidTr="0079461D">
        <w:trPr>
          <w:trHeight w:val="340"/>
        </w:trPr>
        <w:tc>
          <w:tcPr>
            <w:tcW w:w="988" w:type="dxa"/>
          </w:tcPr>
          <w:p w14:paraId="008A175F" w14:textId="479DC81D" w:rsidR="0079461D" w:rsidRPr="00460EE9" w:rsidRDefault="0079461D" w:rsidP="00D1509D">
            <w:pPr>
              <w:spacing w:after="80"/>
              <w:ind w:firstLine="0"/>
              <w:jc w:val="both"/>
              <w:rPr>
                <w:b/>
              </w:rPr>
            </w:pPr>
            <w:r>
              <w:rPr>
                <w:b/>
              </w:rPr>
              <w:t>31-Jan</w:t>
            </w:r>
          </w:p>
        </w:tc>
        <w:tc>
          <w:tcPr>
            <w:tcW w:w="3543" w:type="dxa"/>
          </w:tcPr>
          <w:p w14:paraId="4CAF3C3A" w14:textId="77777777" w:rsidR="0079461D" w:rsidRDefault="0079461D" w:rsidP="00D1509D">
            <w:pPr>
              <w:spacing w:after="80"/>
              <w:ind w:firstLine="0"/>
              <w:jc w:val="both"/>
            </w:pPr>
          </w:p>
        </w:tc>
        <w:tc>
          <w:tcPr>
            <w:tcW w:w="4455" w:type="dxa"/>
          </w:tcPr>
          <w:p w14:paraId="79A6628E" w14:textId="4FACC40D" w:rsidR="0079461D" w:rsidRDefault="0079461D" w:rsidP="00D1509D">
            <w:pPr>
              <w:spacing w:after="80"/>
              <w:ind w:firstLine="0"/>
              <w:jc w:val="both"/>
            </w:pPr>
            <w:r>
              <w:t>MG1 round closes</w:t>
            </w:r>
          </w:p>
        </w:tc>
      </w:tr>
      <w:tr w:rsidR="0079461D" w14:paraId="5BAA0A28" w14:textId="0018DF60" w:rsidTr="0079461D">
        <w:trPr>
          <w:trHeight w:val="340"/>
        </w:trPr>
        <w:tc>
          <w:tcPr>
            <w:tcW w:w="988" w:type="dxa"/>
          </w:tcPr>
          <w:p w14:paraId="04C41888" w14:textId="1A5CAF37" w:rsidR="0079461D" w:rsidRPr="00460EE9" w:rsidRDefault="0079461D" w:rsidP="00D1509D">
            <w:pPr>
              <w:spacing w:after="80"/>
              <w:ind w:firstLine="0"/>
              <w:jc w:val="both"/>
              <w:rPr>
                <w:b/>
              </w:rPr>
            </w:pPr>
            <w:r>
              <w:rPr>
                <w:b/>
              </w:rPr>
              <w:t>01-Feb</w:t>
            </w:r>
          </w:p>
        </w:tc>
        <w:tc>
          <w:tcPr>
            <w:tcW w:w="3543" w:type="dxa"/>
          </w:tcPr>
          <w:p w14:paraId="71EDC623" w14:textId="77777777" w:rsidR="0079461D" w:rsidRDefault="0079461D" w:rsidP="00D1509D">
            <w:pPr>
              <w:spacing w:after="80"/>
              <w:ind w:firstLine="0"/>
              <w:jc w:val="both"/>
            </w:pPr>
          </w:p>
        </w:tc>
        <w:tc>
          <w:tcPr>
            <w:tcW w:w="4455" w:type="dxa"/>
          </w:tcPr>
          <w:p w14:paraId="49D7176A" w14:textId="79F8B543" w:rsidR="0079461D" w:rsidRDefault="0079461D" w:rsidP="00D1509D">
            <w:pPr>
              <w:spacing w:after="80"/>
              <w:ind w:firstLine="0"/>
              <w:jc w:val="both"/>
            </w:pPr>
            <w:r>
              <w:t>MG2 round opens</w:t>
            </w:r>
          </w:p>
        </w:tc>
      </w:tr>
      <w:tr w:rsidR="0079461D" w14:paraId="46A21C6A" w14:textId="6C9A4F30" w:rsidTr="0079461D">
        <w:trPr>
          <w:trHeight w:val="340"/>
        </w:trPr>
        <w:tc>
          <w:tcPr>
            <w:tcW w:w="988" w:type="dxa"/>
          </w:tcPr>
          <w:p w14:paraId="255499C4" w14:textId="0F59538F" w:rsidR="0079461D" w:rsidRPr="00460EE9" w:rsidRDefault="0079461D" w:rsidP="00D1509D">
            <w:pPr>
              <w:spacing w:after="80"/>
              <w:ind w:firstLine="0"/>
              <w:jc w:val="both"/>
              <w:rPr>
                <w:b/>
              </w:rPr>
            </w:pPr>
            <w:r>
              <w:rPr>
                <w:b/>
              </w:rPr>
              <w:t>24-Feb</w:t>
            </w:r>
          </w:p>
        </w:tc>
        <w:tc>
          <w:tcPr>
            <w:tcW w:w="3543" w:type="dxa"/>
          </w:tcPr>
          <w:p w14:paraId="399BC9FF" w14:textId="77777777" w:rsidR="0079461D" w:rsidRDefault="0079461D" w:rsidP="00D1509D">
            <w:pPr>
              <w:spacing w:after="80"/>
              <w:ind w:firstLine="0"/>
              <w:jc w:val="both"/>
            </w:pPr>
          </w:p>
        </w:tc>
        <w:tc>
          <w:tcPr>
            <w:tcW w:w="4455" w:type="dxa"/>
          </w:tcPr>
          <w:p w14:paraId="28A114A7" w14:textId="4CE207F0" w:rsidR="0079461D" w:rsidRDefault="0079461D" w:rsidP="00D1509D">
            <w:pPr>
              <w:spacing w:after="80"/>
              <w:ind w:firstLine="0"/>
              <w:jc w:val="both"/>
            </w:pPr>
            <w:r>
              <w:t>MG2 round closes</w:t>
            </w:r>
          </w:p>
        </w:tc>
      </w:tr>
      <w:tr w:rsidR="0079461D" w14:paraId="398CA4EA" w14:textId="77777777" w:rsidTr="0079461D">
        <w:trPr>
          <w:trHeight w:val="340"/>
        </w:trPr>
        <w:tc>
          <w:tcPr>
            <w:tcW w:w="988" w:type="dxa"/>
          </w:tcPr>
          <w:p w14:paraId="26EB9AA8" w14:textId="6405F2CD" w:rsidR="0079461D" w:rsidRPr="00460EE9" w:rsidRDefault="0079461D" w:rsidP="00D1509D">
            <w:pPr>
              <w:spacing w:after="80"/>
              <w:ind w:firstLine="0"/>
              <w:jc w:val="both"/>
              <w:rPr>
                <w:b/>
              </w:rPr>
            </w:pPr>
            <w:r>
              <w:rPr>
                <w:b/>
              </w:rPr>
              <w:t>05-Mar</w:t>
            </w:r>
          </w:p>
        </w:tc>
        <w:tc>
          <w:tcPr>
            <w:tcW w:w="3543" w:type="dxa"/>
          </w:tcPr>
          <w:p w14:paraId="3798D73A" w14:textId="77777777" w:rsidR="0079461D" w:rsidRDefault="0079461D" w:rsidP="00D1509D">
            <w:pPr>
              <w:spacing w:after="80"/>
              <w:ind w:firstLine="0"/>
              <w:jc w:val="both"/>
            </w:pPr>
          </w:p>
        </w:tc>
        <w:tc>
          <w:tcPr>
            <w:tcW w:w="4455" w:type="dxa"/>
          </w:tcPr>
          <w:p w14:paraId="7D85AEBF" w14:textId="2C146CDC" w:rsidR="0079461D" w:rsidRDefault="0079461D" w:rsidP="00D1509D">
            <w:pPr>
              <w:spacing w:after="80"/>
              <w:ind w:firstLine="0"/>
              <w:jc w:val="both"/>
            </w:pPr>
            <w:r>
              <w:t>Resolution meeting</w:t>
            </w:r>
          </w:p>
        </w:tc>
      </w:tr>
      <w:tr w:rsidR="0079461D" w14:paraId="13065536" w14:textId="77777777" w:rsidTr="0079461D">
        <w:trPr>
          <w:trHeight w:val="329"/>
        </w:trPr>
        <w:tc>
          <w:tcPr>
            <w:tcW w:w="988" w:type="dxa"/>
          </w:tcPr>
          <w:p w14:paraId="082B5758" w14:textId="230539AA" w:rsidR="0079461D" w:rsidRDefault="0079461D" w:rsidP="00D1509D">
            <w:pPr>
              <w:spacing w:after="80"/>
              <w:ind w:firstLine="0"/>
              <w:jc w:val="both"/>
              <w:rPr>
                <w:b/>
              </w:rPr>
            </w:pPr>
            <w:r>
              <w:rPr>
                <w:b/>
              </w:rPr>
              <w:t>09-Mar</w:t>
            </w:r>
          </w:p>
        </w:tc>
        <w:tc>
          <w:tcPr>
            <w:tcW w:w="3543" w:type="dxa"/>
          </w:tcPr>
          <w:p w14:paraId="01C28E1C" w14:textId="0ED123E9" w:rsidR="0079461D" w:rsidRDefault="0079461D" w:rsidP="00D1509D">
            <w:pPr>
              <w:spacing w:after="80"/>
              <w:ind w:firstLine="0"/>
              <w:jc w:val="both"/>
            </w:pPr>
            <w:r>
              <w:t>Allocations communicated to CSPs</w:t>
            </w:r>
          </w:p>
        </w:tc>
        <w:tc>
          <w:tcPr>
            <w:tcW w:w="4455" w:type="dxa"/>
          </w:tcPr>
          <w:p w14:paraId="1FD2720F" w14:textId="77777777" w:rsidR="0079461D" w:rsidRDefault="0079461D" w:rsidP="00D1509D">
            <w:pPr>
              <w:spacing w:after="80"/>
              <w:ind w:firstLine="0"/>
              <w:jc w:val="both"/>
            </w:pPr>
          </w:p>
        </w:tc>
      </w:tr>
      <w:tr w:rsidR="0079461D" w14:paraId="503E5558" w14:textId="77777777" w:rsidTr="0079461D">
        <w:trPr>
          <w:trHeight w:val="70"/>
        </w:trPr>
        <w:tc>
          <w:tcPr>
            <w:tcW w:w="988" w:type="dxa"/>
          </w:tcPr>
          <w:p w14:paraId="2A0336CB" w14:textId="6FE107F9" w:rsidR="0079461D" w:rsidRDefault="0079461D" w:rsidP="00D1509D">
            <w:pPr>
              <w:spacing w:after="80"/>
              <w:ind w:firstLine="0"/>
              <w:jc w:val="both"/>
              <w:rPr>
                <w:b/>
              </w:rPr>
            </w:pPr>
            <w:r>
              <w:rPr>
                <w:b/>
              </w:rPr>
              <w:t>19-Mar</w:t>
            </w:r>
          </w:p>
        </w:tc>
        <w:tc>
          <w:tcPr>
            <w:tcW w:w="3543" w:type="dxa"/>
          </w:tcPr>
          <w:p w14:paraId="5859C8E9" w14:textId="77777777" w:rsidR="0079461D" w:rsidRDefault="0079461D" w:rsidP="00D1509D">
            <w:pPr>
              <w:spacing w:after="80"/>
              <w:ind w:firstLine="0"/>
              <w:jc w:val="both"/>
            </w:pPr>
          </w:p>
        </w:tc>
        <w:tc>
          <w:tcPr>
            <w:tcW w:w="4455" w:type="dxa"/>
          </w:tcPr>
          <w:p w14:paraId="077D7135" w14:textId="2C72CD64" w:rsidR="0079461D" w:rsidRDefault="0079461D" w:rsidP="00D1509D">
            <w:pPr>
              <w:spacing w:after="80"/>
              <w:ind w:firstLine="0"/>
              <w:jc w:val="both"/>
            </w:pPr>
            <w:r>
              <w:t>Appeals meeting</w:t>
            </w:r>
          </w:p>
        </w:tc>
      </w:tr>
      <w:tr w:rsidR="0079461D" w14:paraId="0C099E98" w14:textId="77777777" w:rsidTr="0079461D">
        <w:trPr>
          <w:trHeight w:val="261"/>
        </w:trPr>
        <w:tc>
          <w:tcPr>
            <w:tcW w:w="988" w:type="dxa"/>
          </w:tcPr>
          <w:p w14:paraId="7BE5D35F" w14:textId="3E648193" w:rsidR="0079461D" w:rsidRDefault="0079461D" w:rsidP="00D1509D">
            <w:pPr>
              <w:spacing w:after="80"/>
              <w:ind w:firstLine="0"/>
              <w:jc w:val="both"/>
              <w:rPr>
                <w:b/>
              </w:rPr>
            </w:pPr>
            <w:r>
              <w:rPr>
                <w:b/>
              </w:rPr>
              <w:t>20-Mar</w:t>
            </w:r>
          </w:p>
        </w:tc>
        <w:tc>
          <w:tcPr>
            <w:tcW w:w="3543" w:type="dxa"/>
          </w:tcPr>
          <w:p w14:paraId="3AEAD16F" w14:textId="440B7FF0" w:rsidR="0079461D" w:rsidRDefault="0079461D" w:rsidP="00D1509D">
            <w:pPr>
              <w:spacing w:after="80"/>
              <w:ind w:firstLine="0"/>
              <w:jc w:val="both"/>
            </w:pPr>
            <w:r>
              <w:t>Appeals outcomes communicated</w:t>
            </w:r>
          </w:p>
        </w:tc>
        <w:tc>
          <w:tcPr>
            <w:tcW w:w="4455" w:type="dxa"/>
          </w:tcPr>
          <w:p w14:paraId="5D7154C8" w14:textId="77777777" w:rsidR="0079461D" w:rsidRDefault="0079461D" w:rsidP="00D1509D">
            <w:pPr>
              <w:spacing w:after="80"/>
              <w:ind w:firstLine="0"/>
              <w:jc w:val="both"/>
            </w:pPr>
          </w:p>
        </w:tc>
      </w:tr>
    </w:tbl>
    <w:p w14:paraId="02BDFA91" w14:textId="42D36572" w:rsidR="000F3564" w:rsidRDefault="000F3564" w:rsidP="00D1509D">
      <w:pPr>
        <w:spacing w:after="80"/>
        <w:jc w:val="both"/>
      </w:pPr>
    </w:p>
    <w:p w14:paraId="42E7A01A" w14:textId="1C37BD38" w:rsidR="006E1E4A" w:rsidRDefault="00AF2CDD" w:rsidP="00FC6D55">
      <w:pPr>
        <w:spacing w:after="80"/>
        <w:ind w:firstLine="0"/>
        <w:jc w:val="both"/>
      </w:pPr>
      <w:r w:rsidRPr="00BD5DE8">
        <w:rPr>
          <w:b/>
        </w:rPr>
        <w:t>MG1 round</w:t>
      </w:r>
      <w:r>
        <w:t xml:space="preserve">: during this period, </w:t>
      </w:r>
      <w:r w:rsidR="003D3ED7">
        <w:t>the</w:t>
      </w:r>
      <w:r>
        <w:t xml:space="preserve"> CSP’s relevant</w:t>
      </w:r>
      <w:r w:rsidR="00FC6D55">
        <w:t xml:space="preserve"> M</w:t>
      </w:r>
      <w:r>
        <w:t xml:space="preserve">anagement </w:t>
      </w:r>
      <w:r w:rsidR="00FC6D55">
        <w:t>G</w:t>
      </w:r>
      <w:r>
        <w:t xml:space="preserve">roup </w:t>
      </w:r>
      <w:r w:rsidR="00FC6D55">
        <w:t xml:space="preserve">(MG) </w:t>
      </w:r>
      <w:r>
        <w:t xml:space="preserve">or </w:t>
      </w:r>
      <w:r w:rsidR="00FC6D55">
        <w:t>C</w:t>
      </w:r>
      <w:r>
        <w:t xml:space="preserve">onstituent </w:t>
      </w:r>
      <w:r w:rsidR="00FC6D55">
        <w:t>Union (CU)</w:t>
      </w:r>
      <w:r w:rsidR="003D3ED7">
        <w:t xml:space="preserve"> will review the CSP’s budget. This review includes reviewing individual lines, especially those against which Grant is requested, as well as the overall budget.</w:t>
      </w:r>
    </w:p>
    <w:p w14:paraId="2162BE80" w14:textId="75EA647E" w:rsidR="003D3ED7" w:rsidRDefault="003D3ED7" w:rsidP="00FC6D55">
      <w:pPr>
        <w:spacing w:after="80"/>
        <w:ind w:firstLine="0"/>
        <w:jc w:val="both"/>
      </w:pPr>
      <w:r w:rsidRPr="00BD5DE8">
        <w:rPr>
          <w:b/>
        </w:rPr>
        <w:t>MG2 round</w:t>
      </w:r>
      <w:r>
        <w:t>: during this period,</w:t>
      </w:r>
      <w:r w:rsidR="00C15721">
        <w:t xml:space="preserve"> another MG or CU will review the CSP’s budget, paying </w:t>
      </w:r>
      <w:proofErr w:type="gramStart"/>
      <w:r w:rsidR="00C15721">
        <w:t>particular attention</w:t>
      </w:r>
      <w:proofErr w:type="gramEnd"/>
      <w:r w:rsidR="00C15721">
        <w:t xml:space="preserve"> to those lines where grant was requested.</w:t>
      </w:r>
    </w:p>
    <w:p w14:paraId="3C1E23C5" w14:textId="1C6ED47C" w:rsidR="0006246C" w:rsidRDefault="0006246C" w:rsidP="00FC6D55">
      <w:pPr>
        <w:spacing w:after="80"/>
        <w:ind w:firstLine="0"/>
        <w:jc w:val="both"/>
      </w:pPr>
      <w:r w:rsidRPr="00BD5DE8">
        <w:rPr>
          <w:b/>
        </w:rPr>
        <w:t>Resolution</w:t>
      </w:r>
      <w:r w:rsidR="00951781" w:rsidRPr="00BD5DE8">
        <w:rPr>
          <w:b/>
        </w:rPr>
        <w:t xml:space="preserve"> meeting</w:t>
      </w:r>
      <w:r>
        <w:t>: where the two MGs/CUs involved in the review process di</w:t>
      </w:r>
      <w:r w:rsidR="00B43477">
        <w:t>sagree on the amount of grant to be allocated against a specific line, the Deputy President - Clubs &amp; Societies (DPCS) and the Deputy President – Finance &amp; Services (DPFS)</w:t>
      </w:r>
      <w:r w:rsidR="00D445BC">
        <w:t xml:space="preserve"> will suggest a resolution outcome.</w:t>
      </w:r>
      <w:r w:rsidR="00951781">
        <w:t xml:space="preserve"> This is done offline and the proposed resolution is submitted to both MG1 and MG2.</w:t>
      </w:r>
      <w:r w:rsidR="00677A99">
        <w:t xml:space="preserve"> If both don’t agree to the suggested resolution, it is brought to the “Resolution meeting” for</w:t>
      </w:r>
      <w:r w:rsidR="00B76159">
        <w:t xml:space="preserve"> discussion amongst CSPB. The outcome</w:t>
      </w:r>
      <w:r w:rsidR="003E5DAE">
        <w:t xml:space="preserve"> decided at CSPB is final.</w:t>
      </w:r>
    </w:p>
    <w:p w14:paraId="62DA5CA1" w14:textId="3A0A8219" w:rsidR="003E5DAE" w:rsidRDefault="003E5DAE" w:rsidP="00FC6D55">
      <w:pPr>
        <w:spacing w:after="80"/>
        <w:ind w:firstLine="0"/>
        <w:jc w:val="both"/>
      </w:pPr>
      <w:r w:rsidRPr="00E63887">
        <w:rPr>
          <w:b/>
        </w:rPr>
        <w:t>Appeals</w:t>
      </w:r>
      <w:r>
        <w:t>:</w:t>
      </w:r>
      <w:r w:rsidR="004378CC">
        <w:t xml:space="preserve"> CSPs who feel they have not been allocated </w:t>
      </w:r>
      <w:r w:rsidR="00E63887">
        <w:t>in</w:t>
      </w:r>
      <w:r w:rsidR="004378CC">
        <w:t xml:space="preserve">sufficient </w:t>
      </w:r>
      <w:r w:rsidR="00E63887">
        <w:t>funding can appeal CSPB’s decision</w:t>
      </w:r>
      <w:r w:rsidR="00A06117">
        <w:t xml:space="preserve"> for </w:t>
      </w:r>
      <w:r w:rsidR="00791222">
        <w:t xml:space="preserve">one of </w:t>
      </w:r>
      <w:r w:rsidR="009C3B19">
        <w:t>three reasons:</w:t>
      </w:r>
    </w:p>
    <w:p w14:paraId="46B1996F" w14:textId="21F10CB0" w:rsidR="00A92489" w:rsidRDefault="00A92489" w:rsidP="00A92489">
      <w:pPr>
        <w:pStyle w:val="ListParagraph"/>
        <w:numPr>
          <w:ilvl w:val="0"/>
          <w:numId w:val="13"/>
        </w:numPr>
        <w:spacing w:after="80"/>
        <w:jc w:val="both"/>
      </w:pPr>
      <w:r>
        <w:t>Did not upload a budget in time</w:t>
      </w:r>
    </w:p>
    <w:p w14:paraId="37807EED" w14:textId="42AE9EA5" w:rsidR="00A92489" w:rsidRDefault="00CC0B50" w:rsidP="00A92489">
      <w:pPr>
        <w:pStyle w:val="ListParagraph"/>
        <w:numPr>
          <w:ilvl w:val="0"/>
          <w:numId w:val="13"/>
        </w:numPr>
        <w:spacing w:after="80"/>
        <w:jc w:val="both"/>
      </w:pPr>
      <w:r>
        <w:t>Additional activities to be considered</w:t>
      </w:r>
    </w:p>
    <w:p w14:paraId="4008F6EF" w14:textId="2A088511" w:rsidR="00CC0B50" w:rsidRDefault="00CC0B50" w:rsidP="00A92489">
      <w:pPr>
        <w:pStyle w:val="ListParagraph"/>
        <w:numPr>
          <w:ilvl w:val="0"/>
          <w:numId w:val="13"/>
        </w:numPr>
        <w:spacing w:after="80"/>
        <w:jc w:val="both"/>
      </w:pPr>
      <w:r>
        <w:t>Insufficient funding allocated given the budget, as it was submitted</w:t>
      </w:r>
    </w:p>
    <w:p w14:paraId="469F52F5" w14:textId="402DCAD4" w:rsidR="00CC0B50" w:rsidRDefault="00CC0B50" w:rsidP="00CC0B50">
      <w:pPr>
        <w:spacing w:after="80"/>
        <w:ind w:firstLine="0"/>
        <w:jc w:val="both"/>
      </w:pPr>
    </w:p>
    <w:p w14:paraId="37CB0760" w14:textId="02E6B7FC" w:rsidR="009C3B19" w:rsidRDefault="009C3B19" w:rsidP="00CC0B50">
      <w:pPr>
        <w:spacing w:after="80"/>
        <w:ind w:firstLine="0"/>
        <w:jc w:val="both"/>
      </w:pPr>
    </w:p>
    <w:p w14:paraId="1326DC57" w14:textId="17B8D748" w:rsidR="003F443E" w:rsidRDefault="003F443E">
      <w:pPr>
        <w:ind w:firstLine="0"/>
      </w:pPr>
      <w:r>
        <w:br w:type="page"/>
      </w:r>
    </w:p>
    <w:p w14:paraId="29279D81" w14:textId="30F70490" w:rsidR="003F443E" w:rsidRDefault="003F443E" w:rsidP="00CC0B50">
      <w:pPr>
        <w:spacing w:after="80"/>
        <w:ind w:firstLine="0"/>
        <w:jc w:val="both"/>
      </w:pPr>
      <w:r>
        <w:lastRenderedPageBreak/>
        <w:t xml:space="preserve">In parallel, there are </w:t>
      </w:r>
      <w:r w:rsidR="0076468B">
        <w:t xml:space="preserve">4 CSPB </w:t>
      </w:r>
      <w:r w:rsidR="00D75F3F">
        <w:t xml:space="preserve">budgeting </w:t>
      </w:r>
      <w:r w:rsidR="0076468B">
        <w:t>meetings that take place during the Spring term</w:t>
      </w:r>
      <w:r w:rsidR="00D75F3F">
        <w:t xml:space="preserve"> (2</w:t>
      </w:r>
      <w:r w:rsidR="00D75F3F" w:rsidRPr="00D75F3F">
        <w:rPr>
          <w:vertAlign w:val="superscript"/>
        </w:rPr>
        <w:t>nd</w:t>
      </w:r>
      <w:r w:rsidR="00D75F3F">
        <w:t xml:space="preserve"> academic term). The dates for the 2019/20 academic year are detailed below and the </w:t>
      </w:r>
      <w:r w:rsidR="00C875E1">
        <w:t>planned progress status and desired outcomes are outlined below.</w:t>
      </w:r>
    </w:p>
    <w:p w14:paraId="0F76DDF5" w14:textId="77777777" w:rsidR="00C875E1" w:rsidRDefault="00C875E1" w:rsidP="00CC0B50">
      <w:pPr>
        <w:spacing w:after="80"/>
        <w:ind w:firstLine="0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F443E" w:rsidRPr="00FD6B60" w14:paraId="7422A09F" w14:textId="77777777" w:rsidTr="003F443E">
        <w:tc>
          <w:tcPr>
            <w:tcW w:w="4508" w:type="dxa"/>
          </w:tcPr>
          <w:p w14:paraId="6847A937" w14:textId="7C6ADB83" w:rsidR="003F443E" w:rsidRPr="00FD6B60" w:rsidRDefault="00B6645E" w:rsidP="00CC0B50">
            <w:pPr>
              <w:spacing w:after="80"/>
              <w:ind w:firstLine="0"/>
              <w:jc w:val="both"/>
              <w:rPr>
                <w:b/>
              </w:rPr>
            </w:pPr>
            <w:r w:rsidRPr="00FD6B60">
              <w:rPr>
                <w:b/>
              </w:rPr>
              <w:t>CSPB meeting date</w:t>
            </w:r>
          </w:p>
        </w:tc>
        <w:tc>
          <w:tcPr>
            <w:tcW w:w="4508" w:type="dxa"/>
          </w:tcPr>
          <w:p w14:paraId="2033892F" w14:textId="19F24659" w:rsidR="003F443E" w:rsidRPr="00FD6B60" w:rsidRDefault="00B6645E" w:rsidP="00CC0B50">
            <w:pPr>
              <w:spacing w:after="80"/>
              <w:ind w:firstLine="0"/>
              <w:jc w:val="both"/>
              <w:rPr>
                <w:b/>
              </w:rPr>
            </w:pPr>
            <w:r w:rsidRPr="00FD6B60">
              <w:rPr>
                <w:b/>
              </w:rPr>
              <w:t>Content</w:t>
            </w:r>
            <w:r w:rsidR="00FD6B60" w:rsidRPr="00FD6B60">
              <w:rPr>
                <w:b/>
              </w:rPr>
              <w:t>/outcome</w:t>
            </w:r>
          </w:p>
        </w:tc>
      </w:tr>
      <w:tr w:rsidR="003F443E" w14:paraId="1A8643D9" w14:textId="77777777" w:rsidTr="003F443E">
        <w:tc>
          <w:tcPr>
            <w:tcW w:w="4508" w:type="dxa"/>
          </w:tcPr>
          <w:p w14:paraId="6F78D7B7" w14:textId="4984C01A" w:rsidR="008A5922" w:rsidRPr="00FD6B60" w:rsidRDefault="008A5922" w:rsidP="00CC0B50">
            <w:pPr>
              <w:spacing w:after="80"/>
              <w:ind w:firstLine="0"/>
              <w:jc w:val="both"/>
              <w:rPr>
                <w:b/>
              </w:rPr>
            </w:pPr>
            <w:r>
              <w:rPr>
                <w:b/>
              </w:rPr>
              <w:t>13-Jan</w:t>
            </w:r>
          </w:p>
        </w:tc>
        <w:tc>
          <w:tcPr>
            <w:tcW w:w="4508" w:type="dxa"/>
          </w:tcPr>
          <w:p w14:paraId="09F86D50" w14:textId="6FB59B3A" w:rsidR="003F443E" w:rsidRDefault="0013419C" w:rsidP="00CC0B50">
            <w:pPr>
              <w:spacing w:after="80"/>
              <w:ind w:firstLine="0"/>
              <w:jc w:val="both"/>
            </w:pPr>
            <w:r>
              <w:t xml:space="preserve">Update on </w:t>
            </w:r>
            <w:r w:rsidR="00AF328E">
              <w:t>current progress of CSPs budgets (</w:t>
            </w:r>
            <w:proofErr w:type="spellStart"/>
            <w:r w:rsidR="00AF328E">
              <w:t>inc.</w:t>
            </w:r>
            <w:proofErr w:type="spellEnd"/>
            <w:r w:rsidR="00AF328E">
              <w:t xml:space="preserve"> number of budgets, understanding of the system and quality of </w:t>
            </w:r>
            <w:r w:rsidR="006C371C">
              <w:t>budgets/grant requests</w:t>
            </w:r>
            <w:r w:rsidR="0092006B">
              <w:t xml:space="preserve"> underway</w:t>
            </w:r>
            <w:r w:rsidR="006C371C">
              <w:t xml:space="preserve">) </w:t>
            </w:r>
            <w:r w:rsidR="008572C4">
              <w:t>as well as discuss</w:t>
            </w:r>
            <w:r w:rsidR="00D1545A">
              <w:t>ion around emerging themes and considerations moving forward</w:t>
            </w:r>
          </w:p>
        </w:tc>
      </w:tr>
      <w:tr w:rsidR="003F443E" w14:paraId="5E56ABE2" w14:textId="77777777" w:rsidTr="003F443E">
        <w:tc>
          <w:tcPr>
            <w:tcW w:w="4508" w:type="dxa"/>
          </w:tcPr>
          <w:p w14:paraId="2BE58EA3" w14:textId="09431BAC" w:rsidR="003F443E" w:rsidRPr="00FD6B60" w:rsidRDefault="008A5922" w:rsidP="00CC0B50">
            <w:pPr>
              <w:spacing w:after="80"/>
              <w:ind w:firstLine="0"/>
              <w:jc w:val="both"/>
              <w:rPr>
                <w:b/>
              </w:rPr>
            </w:pPr>
            <w:r>
              <w:rPr>
                <w:b/>
              </w:rPr>
              <w:t>06-Feb</w:t>
            </w:r>
          </w:p>
        </w:tc>
        <w:tc>
          <w:tcPr>
            <w:tcW w:w="4508" w:type="dxa"/>
          </w:tcPr>
          <w:p w14:paraId="209DBC8A" w14:textId="074E5D05" w:rsidR="003F443E" w:rsidRDefault="00D864EE" w:rsidP="00CC0B50">
            <w:pPr>
              <w:spacing w:after="80"/>
              <w:ind w:firstLine="0"/>
              <w:jc w:val="both"/>
            </w:pPr>
            <w:r>
              <w:t xml:space="preserve">Review </w:t>
            </w:r>
            <w:r w:rsidR="004266F7">
              <w:t xml:space="preserve">CSP Annual Budgeting </w:t>
            </w:r>
            <w:r w:rsidR="00667192">
              <w:t xml:space="preserve">and MG1 </w:t>
            </w:r>
            <w:r w:rsidR="004266F7">
              <w:t>close</w:t>
            </w:r>
            <w:r w:rsidR="00A66B44">
              <w:t xml:space="preserve">; determine ring-fenced amounts for </w:t>
            </w:r>
            <w:r w:rsidR="00C14A40">
              <w:t>those groups mentioned in the “Ring Fences” section of the policy</w:t>
            </w:r>
            <w:r w:rsidR="008C6B21">
              <w:t xml:space="preserve">; update on progress regarding </w:t>
            </w:r>
            <w:r w:rsidR="00667192">
              <w:t>MG2</w:t>
            </w:r>
            <w:r w:rsidR="008C6B21">
              <w:t xml:space="preserve"> round</w:t>
            </w:r>
          </w:p>
        </w:tc>
      </w:tr>
      <w:tr w:rsidR="003F443E" w14:paraId="01394AFD" w14:textId="77777777" w:rsidTr="003F443E">
        <w:tc>
          <w:tcPr>
            <w:tcW w:w="4508" w:type="dxa"/>
          </w:tcPr>
          <w:p w14:paraId="3E0CEE52" w14:textId="215B9FAE" w:rsidR="003F443E" w:rsidRPr="00FD6B60" w:rsidRDefault="008A5922" w:rsidP="00CC0B50">
            <w:pPr>
              <w:spacing w:after="80"/>
              <w:ind w:firstLine="0"/>
              <w:jc w:val="both"/>
              <w:rPr>
                <w:b/>
              </w:rPr>
            </w:pPr>
            <w:r>
              <w:rPr>
                <w:b/>
              </w:rPr>
              <w:t>05-Mar</w:t>
            </w:r>
          </w:p>
        </w:tc>
        <w:tc>
          <w:tcPr>
            <w:tcW w:w="4508" w:type="dxa"/>
          </w:tcPr>
          <w:p w14:paraId="111F84E0" w14:textId="552445A2" w:rsidR="003F443E" w:rsidRDefault="00667192" w:rsidP="00CC0B50">
            <w:pPr>
              <w:spacing w:after="80"/>
              <w:ind w:firstLine="0"/>
              <w:jc w:val="both"/>
            </w:pPr>
            <w:r>
              <w:t>Review all proposed resolutions</w:t>
            </w:r>
            <w:r w:rsidR="0076468B">
              <w:t xml:space="preserve"> that have not been accepted offline prior to the meeting</w:t>
            </w:r>
          </w:p>
        </w:tc>
      </w:tr>
      <w:tr w:rsidR="003F443E" w14:paraId="4287846E" w14:textId="77777777" w:rsidTr="003F443E">
        <w:tc>
          <w:tcPr>
            <w:tcW w:w="4508" w:type="dxa"/>
          </w:tcPr>
          <w:p w14:paraId="0DFE7593" w14:textId="715665D2" w:rsidR="003F443E" w:rsidRPr="00FD6B60" w:rsidRDefault="008A5922" w:rsidP="00CC0B50">
            <w:pPr>
              <w:spacing w:after="80"/>
              <w:ind w:firstLine="0"/>
              <w:jc w:val="both"/>
              <w:rPr>
                <w:b/>
              </w:rPr>
            </w:pPr>
            <w:r>
              <w:rPr>
                <w:b/>
              </w:rPr>
              <w:t>19-Mar</w:t>
            </w:r>
          </w:p>
        </w:tc>
        <w:tc>
          <w:tcPr>
            <w:tcW w:w="4508" w:type="dxa"/>
          </w:tcPr>
          <w:p w14:paraId="75F13B94" w14:textId="3A0D57C4" w:rsidR="003F443E" w:rsidRDefault="0076468B" w:rsidP="00CC0B50">
            <w:pPr>
              <w:spacing w:after="80"/>
              <w:ind w:firstLine="0"/>
              <w:jc w:val="both"/>
            </w:pPr>
            <w:r>
              <w:t>Review appeals submissions</w:t>
            </w:r>
          </w:p>
        </w:tc>
      </w:tr>
    </w:tbl>
    <w:p w14:paraId="2BF16699" w14:textId="5E2DCB15" w:rsidR="009C3B19" w:rsidRDefault="009C3B19" w:rsidP="00CC0B50">
      <w:pPr>
        <w:spacing w:after="80"/>
        <w:ind w:firstLine="0"/>
        <w:jc w:val="both"/>
      </w:pPr>
    </w:p>
    <w:p w14:paraId="1DD4BE9F" w14:textId="05A19303" w:rsidR="00C875E1" w:rsidRDefault="00C875E1" w:rsidP="00CC0B50">
      <w:pPr>
        <w:spacing w:after="80"/>
        <w:ind w:firstLine="0"/>
        <w:jc w:val="both"/>
      </w:pPr>
    </w:p>
    <w:p w14:paraId="229184E0" w14:textId="6AFDA7AE" w:rsidR="00C875E1" w:rsidRDefault="00C875E1" w:rsidP="001F5E87">
      <w:pPr>
        <w:spacing w:after="80"/>
        <w:jc w:val="both"/>
      </w:pPr>
      <w:r>
        <w:t xml:space="preserve">Throughout this process, other Union’s </w:t>
      </w:r>
      <w:proofErr w:type="gramStart"/>
      <w:r>
        <w:t>teams</w:t>
      </w:r>
      <w:proofErr w:type="gramEnd"/>
      <w:r>
        <w:t xml:space="preserve"> involvement is minimal. The Student</w:t>
      </w:r>
      <w:r w:rsidR="001F5E87">
        <w:t xml:space="preserve"> </w:t>
      </w:r>
      <w:r>
        <w:t>Development team</w:t>
      </w:r>
      <w:r w:rsidR="003541D9">
        <w:t xml:space="preserve"> support the Deputy President (Clubs &amp; Societies) with the delivery of training sessions for all CSP presidents and treasurers to attend</w:t>
      </w:r>
      <w:r w:rsidR="00A24582">
        <w:t>. These were hosted on 10/12-Dec and 14/16-Jan this academic year.</w:t>
      </w:r>
    </w:p>
    <w:p w14:paraId="2016A28B" w14:textId="1F666A5E" w:rsidR="00945FFE" w:rsidRDefault="00945FFE" w:rsidP="001F5E87">
      <w:pPr>
        <w:spacing w:after="80"/>
        <w:jc w:val="both"/>
      </w:pPr>
    </w:p>
    <w:p w14:paraId="370B50A5" w14:textId="7C0C7AF8" w:rsidR="00945FFE" w:rsidRPr="00945FFE" w:rsidRDefault="00945FFE" w:rsidP="00945FFE">
      <w:pPr>
        <w:spacing w:after="80"/>
        <w:ind w:firstLine="0"/>
        <w:jc w:val="both"/>
        <w:rPr>
          <w:b/>
        </w:rPr>
      </w:pPr>
      <w:r w:rsidRPr="00945FFE">
        <w:rPr>
          <w:b/>
        </w:rPr>
        <w:t>Formal request for 2020/21</w:t>
      </w:r>
    </w:p>
    <w:p w14:paraId="5C83A6EF" w14:textId="5615003A" w:rsidR="00584C4A" w:rsidRDefault="00E12052" w:rsidP="001F5E87">
      <w:pPr>
        <w:spacing w:after="80"/>
        <w:jc w:val="both"/>
      </w:pPr>
      <w:r>
        <w:t xml:space="preserve">CSPs are an essential part of the student experience </w:t>
      </w:r>
      <w:r w:rsidR="00C52CB6">
        <w:t xml:space="preserve">at Imperial College and </w:t>
      </w:r>
      <w:r w:rsidR="00A335C9">
        <w:t>one of Imperial College Union’s</w:t>
      </w:r>
      <w:r w:rsidR="00FA0C9E">
        <w:t xml:space="preserve"> key deliverables. If an increase at an inflationary rate</w:t>
      </w:r>
      <w:r w:rsidR="008C62DB">
        <w:t xml:space="preserve"> (</w:t>
      </w:r>
      <w:r w:rsidR="00F03A27">
        <w:t>2</w:t>
      </w:r>
      <w:r w:rsidR="008C62DB">
        <w:t>%)</w:t>
      </w:r>
      <w:r w:rsidR="00FA0C9E">
        <w:t xml:space="preserve"> were to be assumed, </w:t>
      </w:r>
      <w:r w:rsidR="008C62DB">
        <w:t>£</w:t>
      </w:r>
      <w:r w:rsidR="00995CE2">
        <w:t>428</w:t>
      </w:r>
      <w:r w:rsidR="008C62DB">
        <w:t>,</w:t>
      </w:r>
      <w:r w:rsidR="005F4B1A">
        <w:t>602</w:t>
      </w:r>
      <w:r w:rsidR="004E5340">
        <w:t xml:space="preserve"> would need to be allocated to CSPs in the 2020/21 academic year.</w:t>
      </w:r>
    </w:p>
    <w:p w14:paraId="4E453CBE" w14:textId="69894EDD" w:rsidR="007E1B8A" w:rsidRDefault="004E5340" w:rsidP="001F5E87">
      <w:pPr>
        <w:spacing w:after="80"/>
        <w:jc w:val="both"/>
      </w:pPr>
      <w:r>
        <w:t>However, this increase does not</w:t>
      </w:r>
      <w:r w:rsidR="00DD37B6">
        <w:t xml:space="preserve"> </w:t>
      </w:r>
      <w:proofErr w:type="gramStart"/>
      <w:r w:rsidR="00DD37B6">
        <w:t>take into account</w:t>
      </w:r>
      <w:proofErr w:type="gramEnd"/>
      <w:r w:rsidR="00DD37B6">
        <w:t xml:space="preserve"> the new CSPs that have joined the Union’s network since the last block grant negotiations</w:t>
      </w:r>
      <w:r w:rsidR="00DD2464">
        <w:t xml:space="preserve">, </w:t>
      </w:r>
      <w:r w:rsidR="00091FE4">
        <w:t>the sale of Heston which will have a significant impact on venue</w:t>
      </w:r>
      <w:r w:rsidR="00284CA0">
        <w:t xml:space="preserve"> costs for our sports clubs</w:t>
      </w:r>
      <w:r w:rsidR="00DD2464">
        <w:t xml:space="preserve"> or the incre</w:t>
      </w:r>
      <w:r w:rsidR="00F943D0">
        <w:t>ase in the number of students at Imperial or those who take part in CSPs.</w:t>
      </w:r>
      <w:r w:rsidR="005A6054">
        <w:t xml:space="preserve"> The following suggestions are hereby put forward:</w:t>
      </w:r>
    </w:p>
    <w:p w14:paraId="53A37636" w14:textId="3E600361" w:rsidR="005A6054" w:rsidRDefault="004B7350" w:rsidP="005A6054">
      <w:pPr>
        <w:pStyle w:val="ListParagraph"/>
        <w:numPr>
          <w:ilvl w:val="0"/>
          <w:numId w:val="14"/>
        </w:numPr>
        <w:spacing w:after="80"/>
        <w:jc w:val="both"/>
      </w:pPr>
      <w:r>
        <w:t xml:space="preserve">In line with the increase </w:t>
      </w:r>
      <w:r w:rsidR="00A727BE">
        <w:t>in student numbers at Imperial College London</w:t>
      </w:r>
      <w:r w:rsidR="004A2682">
        <w:t xml:space="preserve"> (</w:t>
      </w:r>
      <w:r w:rsidR="00A9273E">
        <w:t xml:space="preserve">from </w:t>
      </w:r>
      <w:r w:rsidR="00BC4514">
        <w:t>19</w:t>
      </w:r>
      <w:r w:rsidR="005B641F">
        <w:t>,</w:t>
      </w:r>
      <w:r w:rsidR="00906756">
        <w:t>720</w:t>
      </w:r>
      <w:r w:rsidR="00A9273E">
        <w:t xml:space="preserve"> to </w:t>
      </w:r>
      <w:r w:rsidR="00906756">
        <w:t>20</w:t>
      </w:r>
      <w:r w:rsidR="005B641F">
        <w:t>,</w:t>
      </w:r>
      <w:r w:rsidR="00906756">
        <w:t>714</w:t>
      </w:r>
      <w:r w:rsidR="00A9273E">
        <w:t xml:space="preserve"> </w:t>
      </w:r>
      <w:r w:rsidR="001D3459">
        <w:t>between</w:t>
      </w:r>
      <w:r w:rsidR="00A9273E">
        <w:t xml:space="preserve"> 2018/19 a</w:t>
      </w:r>
      <w:r w:rsidR="001D3459">
        <w:t>nd 2019/20</w:t>
      </w:r>
      <w:r w:rsidR="006A09E8">
        <w:t>)</w:t>
      </w:r>
      <w:r w:rsidR="00AA7D13">
        <w:t xml:space="preserve">, a further </w:t>
      </w:r>
      <w:r w:rsidR="00337BC4">
        <w:t>5.04</w:t>
      </w:r>
      <w:r w:rsidR="00333DB7">
        <w:t>%</w:t>
      </w:r>
      <w:r w:rsidR="00AA7D13">
        <w:t xml:space="preserve"> increase is deemed adequate for CSPs to continue providing an essential aspect of the student experience at Imperial College, as recognised by both the Union and the College’s strategy</w:t>
      </w:r>
      <w:r w:rsidR="00A34749">
        <w:t>.</w:t>
      </w:r>
      <w:r w:rsidR="00850DAB">
        <w:t xml:space="preserve"> This would</w:t>
      </w:r>
      <w:r w:rsidR="008F6E0F">
        <w:t xml:space="preserve"> amount to a further £</w:t>
      </w:r>
      <w:r w:rsidR="001F14F4">
        <w:t>21,602</w:t>
      </w:r>
      <w:r w:rsidR="008F6E0F">
        <w:t>, taking the total to £</w:t>
      </w:r>
      <w:r w:rsidR="00C34358">
        <w:t>450,204</w:t>
      </w:r>
      <w:r w:rsidR="008F6E0F">
        <w:t>.</w:t>
      </w:r>
    </w:p>
    <w:p w14:paraId="3D1212A4" w14:textId="40E23D98" w:rsidR="00A34749" w:rsidRDefault="00611930" w:rsidP="005A6054">
      <w:pPr>
        <w:pStyle w:val="ListParagraph"/>
        <w:numPr>
          <w:ilvl w:val="0"/>
          <w:numId w:val="14"/>
        </w:numPr>
        <w:spacing w:after="80"/>
        <w:jc w:val="both"/>
      </w:pPr>
      <w:r>
        <w:t xml:space="preserve">The Union </w:t>
      </w:r>
      <w:proofErr w:type="gramStart"/>
      <w:r>
        <w:t>has the ability to</w:t>
      </w:r>
      <w:proofErr w:type="gramEnd"/>
      <w:r>
        <w:t xml:space="preserve"> </w:t>
      </w:r>
      <w:r w:rsidR="00D30B66">
        <w:t xml:space="preserve">shut down any </w:t>
      </w:r>
      <w:bookmarkStart w:id="0" w:name="_GoBack"/>
      <w:bookmarkEnd w:id="0"/>
      <w:r w:rsidR="00D30B66">
        <w:t xml:space="preserve">society that </w:t>
      </w:r>
      <w:r w:rsidR="00895B96">
        <w:t>don’t satisfy legal or constitutional requirements</w:t>
      </w:r>
      <w:r w:rsidR="00B62DC2">
        <w:t xml:space="preserve"> as well as those who are not financially sustainable. However, there are no provisions to pay off a CSP’s debt once shut down. Though the Union </w:t>
      </w:r>
      <w:r w:rsidR="001763F2">
        <w:t>exists</w:t>
      </w:r>
      <w:r w:rsidR="00B62DC2">
        <w:t xml:space="preserve"> to provide support to those</w:t>
      </w:r>
      <w:r w:rsidR="005B2287">
        <w:t xml:space="preserve"> CSPs who</w:t>
      </w:r>
      <w:r w:rsidR="00954A0A">
        <w:t xml:space="preserve"> pose a financial risk and/or are currently in debt,</w:t>
      </w:r>
      <w:r w:rsidR="00B7280F">
        <w:t xml:space="preserve"> a separate pot would prove beneficial in the case where a CSP’s </w:t>
      </w:r>
      <w:r w:rsidR="00B7280F">
        <w:lastRenderedPageBreak/>
        <w:t>posi</w:t>
      </w:r>
      <w:r w:rsidR="008A2132">
        <w:t xml:space="preserve">tion is </w:t>
      </w:r>
      <w:r w:rsidR="00C71DD5">
        <w:t>financially unviable</w:t>
      </w:r>
      <w:r w:rsidR="008A2132">
        <w:t>. A further 1% to go to this separate pot is suggested</w:t>
      </w:r>
      <w:r w:rsidR="001A17C0">
        <w:t xml:space="preserve"> and would bring the total requested to £</w:t>
      </w:r>
      <w:r w:rsidR="00C71DD5">
        <w:t>454,706</w:t>
      </w:r>
      <w:r w:rsidR="001A17C0">
        <w:t>.</w:t>
      </w:r>
    </w:p>
    <w:p w14:paraId="35CD2822" w14:textId="07459FE5" w:rsidR="001A17C0" w:rsidRDefault="001A17C0" w:rsidP="001A17C0">
      <w:pPr>
        <w:spacing w:after="80"/>
        <w:jc w:val="both"/>
      </w:pPr>
    </w:p>
    <w:p w14:paraId="72A2C355" w14:textId="300987A6" w:rsidR="007E1B8A" w:rsidRPr="00522B2C" w:rsidRDefault="00D45116" w:rsidP="00925555">
      <w:pPr>
        <w:spacing w:after="80"/>
        <w:jc w:val="both"/>
      </w:pPr>
      <w:r>
        <w:t>The Deputy President (Clubs &amp; Societies) therefore recommends that £</w:t>
      </w:r>
      <w:r w:rsidR="00C71DD5">
        <w:t>454</w:t>
      </w:r>
      <w:r w:rsidR="00925555">
        <w:t>,706</w:t>
      </w:r>
      <w:r>
        <w:t xml:space="preserve"> </w:t>
      </w:r>
      <w:r w:rsidR="003D5E28">
        <w:t>of the block grant be put towards the CSP Grant for the academic year 2020/21.</w:t>
      </w:r>
      <w:r w:rsidR="00925555">
        <w:t xml:space="preserve"> This </w:t>
      </w:r>
      <w:r w:rsidR="00A67178">
        <w:t>increase will allow the Union to better support the current activities undertaken by CSPs to enhance the student experience whilst also allowing them to start planning new activities</w:t>
      </w:r>
      <w:r w:rsidR="00D61CFA">
        <w:t>, relevant to the current membership of Imperial College Union.</w:t>
      </w:r>
    </w:p>
    <w:sectPr w:rsidR="007E1B8A" w:rsidRPr="00522B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0001A9"/>
    <w:multiLevelType w:val="hybridMultilevel"/>
    <w:tmpl w:val="18609676"/>
    <w:lvl w:ilvl="0" w:tplc="82708E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04767"/>
    <w:multiLevelType w:val="hybridMultilevel"/>
    <w:tmpl w:val="852203FC"/>
    <w:lvl w:ilvl="0" w:tplc="25720F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4210EB"/>
    <w:multiLevelType w:val="hybridMultilevel"/>
    <w:tmpl w:val="56542E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F932DE"/>
    <w:multiLevelType w:val="hybridMultilevel"/>
    <w:tmpl w:val="689809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A50C2E"/>
    <w:multiLevelType w:val="hybridMultilevel"/>
    <w:tmpl w:val="278C80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AB5B70"/>
    <w:multiLevelType w:val="hybridMultilevel"/>
    <w:tmpl w:val="2C74E4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FA70C0"/>
    <w:multiLevelType w:val="hybridMultilevel"/>
    <w:tmpl w:val="AC82966E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43F842CC"/>
    <w:multiLevelType w:val="hybridMultilevel"/>
    <w:tmpl w:val="98CEB3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B266BD"/>
    <w:multiLevelType w:val="hybridMultilevel"/>
    <w:tmpl w:val="70FE4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0C6BF8"/>
    <w:multiLevelType w:val="hybridMultilevel"/>
    <w:tmpl w:val="C8BC84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D5117A"/>
    <w:multiLevelType w:val="hybridMultilevel"/>
    <w:tmpl w:val="164A74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CE5F7C"/>
    <w:multiLevelType w:val="hybridMultilevel"/>
    <w:tmpl w:val="E550D5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5B28BC"/>
    <w:multiLevelType w:val="hybridMultilevel"/>
    <w:tmpl w:val="F072D0F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4582C20"/>
    <w:multiLevelType w:val="hybridMultilevel"/>
    <w:tmpl w:val="1354D9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5"/>
  </w:num>
  <w:num w:numId="4">
    <w:abstractNumId w:val="12"/>
  </w:num>
  <w:num w:numId="5">
    <w:abstractNumId w:val="7"/>
  </w:num>
  <w:num w:numId="6">
    <w:abstractNumId w:val="10"/>
  </w:num>
  <w:num w:numId="7">
    <w:abstractNumId w:val="3"/>
  </w:num>
  <w:num w:numId="8">
    <w:abstractNumId w:val="2"/>
  </w:num>
  <w:num w:numId="9">
    <w:abstractNumId w:val="11"/>
  </w:num>
  <w:num w:numId="10">
    <w:abstractNumId w:val="9"/>
  </w:num>
  <w:num w:numId="11">
    <w:abstractNumId w:val="0"/>
  </w:num>
  <w:num w:numId="12">
    <w:abstractNumId w:val="4"/>
  </w:num>
  <w:num w:numId="13">
    <w:abstractNumId w:val="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242"/>
    <w:rsid w:val="0005033D"/>
    <w:rsid w:val="0006246C"/>
    <w:rsid w:val="0006659B"/>
    <w:rsid w:val="00066DDB"/>
    <w:rsid w:val="00091FE4"/>
    <w:rsid w:val="000E33BC"/>
    <w:rsid w:val="000F3564"/>
    <w:rsid w:val="0013419C"/>
    <w:rsid w:val="001650B4"/>
    <w:rsid w:val="001763F2"/>
    <w:rsid w:val="00185908"/>
    <w:rsid w:val="001A17C0"/>
    <w:rsid w:val="001D3459"/>
    <w:rsid w:val="001D7379"/>
    <w:rsid w:val="001F14F4"/>
    <w:rsid w:val="001F5E87"/>
    <w:rsid w:val="00225DE5"/>
    <w:rsid w:val="00283F60"/>
    <w:rsid w:val="00284CA0"/>
    <w:rsid w:val="002A42BF"/>
    <w:rsid w:val="002E173D"/>
    <w:rsid w:val="00333DB7"/>
    <w:rsid w:val="00337BC4"/>
    <w:rsid w:val="003541D9"/>
    <w:rsid w:val="003B5FCA"/>
    <w:rsid w:val="003C22CB"/>
    <w:rsid w:val="003C399D"/>
    <w:rsid w:val="003D3ED7"/>
    <w:rsid w:val="003D5E28"/>
    <w:rsid w:val="003E5DAE"/>
    <w:rsid w:val="003F443E"/>
    <w:rsid w:val="00405F8E"/>
    <w:rsid w:val="004266F7"/>
    <w:rsid w:val="004378CC"/>
    <w:rsid w:val="00460EE9"/>
    <w:rsid w:val="00490326"/>
    <w:rsid w:val="004A2682"/>
    <w:rsid w:val="004B7350"/>
    <w:rsid w:val="004C2AE4"/>
    <w:rsid w:val="004C643A"/>
    <w:rsid w:val="004E5340"/>
    <w:rsid w:val="00522B2C"/>
    <w:rsid w:val="00523CBD"/>
    <w:rsid w:val="00542242"/>
    <w:rsid w:val="00550975"/>
    <w:rsid w:val="00556BB4"/>
    <w:rsid w:val="00584C4A"/>
    <w:rsid w:val="005A6054"/>
    <w:rsid w:val="005B2287"/>
    <w:rsid w:val="005B641F"/>
    <w:rsid w:val="005B7693"/>
    <w:rsid w:val="005F4B1A"/>
    <w:rsid w:val="006107A8"/>
    <w:rsid w:val="00611930"/>
    <w:rsid w:val="00634AC9"/>
    <w:rsid w:val="006355A1"/>
    <w:rsid w:val="00661ECC"/>
    <w:rsid w:val="00667192"/>
    <w:rsid w:val="00667B4D"/>
    <w:rsid w:val="00677A99"/>
    <w:rsid w:val="006A09E8"/>
    <w:rsid w:val="006C371C"/>
    <w:rsid w:val="006E1E4A"/>
    <w:rsid w:val="0073069F"/>
    <w:rsid w:val="00746314"/>
    <w:rsid w:val="00760B88"/>
    <w:rsid w:val="0076468B"/>
    <w:rsid w:val="007823DA"/>
    <w:rsid w:val="00791222"/>
    <w:rsid w:val="0079461D"/>
    <w:rsid w:val="007E1B8A"/>
    <w:rsid w:val="00815FBA"/>
    <w:rsid w:val="00835535"/>
    <w:rsid w:val="00846383"/>
    <w:rsid w:val="00850DAB"/>
    <w:rsid w:val="00853C7C"/>
    <w:rsid w:val="008572C4"/>
    <w:rsid w:val="0087502A"/>
    <w:rsid w:val="00885331"/>
    <w:rsid w:val="00891E61"/>
    <w:rsid w:val="00895B96"/>
    <w:rsid w:val="008A2132"/>
    <w:rsid w:val="008A5922"/>
    <w:rsid w:val="008C2831"/>
    <w:rsid w:val="008C62DB"/>
    <w:rsid w:val="008C6B21"/>
    <w:rsid w:val="008D35E8"/>
    <w:rsid w:val="008E17CA"/>
    <w:rsid w:val="008F6E0F"/>
    <w:rsid w:val="00906756"/>
    <w:rsid w:val="0092006B"/>
    <w:rsid w:val="00925555"/>
    <w:rsid w:val="00945FFE"/>
    <w:rsid w:val="00951781"/>
    <w:rsid w:val="00954A0A"/>
    <w:rsid w:val="00991895"/>
    <w:rsid w:val="00995CE2"/>
    <w:rsid w:val="009C3B19"/>
    <w:rsid w:val="009F697E"/>
    <w:rsid w:val="00A06117"/>
    <w:rsid w:val="00A24582"/>
    <w:rsid w:val="00A335C9"/>
    <w:rsid w:val="00A34749"/>
    <w:rsid w:val="00A37E5D"/>
    <w:rsid w:val="00A65418"/>
    <w:rsid w:val="00A66B44"/>
    <w:rsid w:val="00A67178"/>
    <w:rsid w:val="00A727BE"/>
    <w:rsid w:val="00A92489"/>
    <w:rsid w:val="00A9273E"/>
    <w:rsid w:val="00A97465"/>
    <w:rsid w:val="00AA7D13"/>
    <w:rsid w:val="00AC2AE1"/>
    <w:rsid w:val="00AD3AF7"/>
    <w:rsid w:val="00AE6CFF"/>
    <w:rsid w:val="00AF2CDD"/>
    <w:rsid w:val="00AF328E"/>
    <w:rsid w:val="00B42FA4"/>
    <w:rsid w:val="00B43477"/>
    <w:rsid w:val="00B5593B"/>
    <w:rsid w:val="00B62DC2"/>
    <w:rsid w:val="00B6645E"/>
    <w:rsid w:val="00B7280F"/>
    <w:rsid w:val="00B74810"/>
    <w:rsid w:val="00B76159"/>
    <w:rsid w:val="00BA5FDC"/>
    <w:rsid w:val="00BC4514"/>
    <w:rsid w:val="00BD5DE8"/>
    <w:rsid w:val="00BE5312"/>
    <w:rsid w:val="00BF4C16"/>
    <w:rsid w:val="00C14A40"/>
    <w:rsid w:val="00C15721"/>
    <w:rsid w:val="00C34358"/>
    <w:rsid w:val="00C42D93"/>
    <w:rsid w:val="00C52CB6"/>
    <w:rsid w:val="00C56063"/>
    <w:rsid w:val="00C71DD5"/>
    <w:rsid w:val="00C875E1"/>
    <w:rsid w:val="00CC0B50"/>
    <w:rsid w:val="00D1509D"/>
    <w:rsid w:val="00D1545A"/>
    <w:rsid w:val="00D30B66"/>
    <w:rsid w:val="00D333FB"/>
    <w:rsid w:val="00D445BC"/>
    <w:rsid w:val="00D45116"/>
    <w:rsid w:val="00D61CFA"/>
    <w:rsid w:val="00D6524D"/>
    <w:rsid w:val="00D75F3F"/>
    <w:rsid w:val="00D864EE"/>
    <w:rsid w:val="00D94992"/>
    <w:rsid w:val="00DA4012"/>
    <w:rsid w:val="00DB09EF"/>
    <w:rsid w:val="00DB1A3F"/>
    <w:rsid w:val="00DD2464"/>
    <w:rsid w:val="00DD2A06"/>
    <w:rsid w:val="00DD37B6"/>
    <w:rsid w:val="00DD3D14"/>
    <w:rsid w:val="00E02446"/>
    <w:rsid w:val="00E12052"/>
    <w:rsid w:val="00E51041"/>
    <w:rsid w:val="00E63887"/>
    <w:rsid w:val="00E644B5"/>
    <w:rsid w:val="00EE6950"/>
    <w:rsid w:val="00F010AA"/>
    <w:rsid w:val="00F03A27"/>
    <w:rsid w:val="00F448F3"/>
    <w:rsid w:val="00F71844"/>
    <w:rsid w:val="00F943D0"/>
    <w:rsid w:val="00FA0C9E"/>
    <w:rsid w:val="00FC6D55"/>
    <w:rsid w:val="00FD1178"/>
    <w:rsid w:val="00FD6B60"/>
    <w:rsid w:val="00FE0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3C06B"/>
  <w15:chartTrackingRefBased/>
  <w15:docId w15:val="{3F1E3936-E3F1-4AB0-8D07-69B979D9C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33FB"/>
    <w:pPr>
      <w:ind w:firstLine="56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2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56B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6BB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6B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BB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D3A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5427089BE2EC43B5C68DD5A31F1834" ma:contentTypeVersion="6" ma:contentTypeDescription="Create a new document." ma:contentTypeScope="" ma:versionID="4eda60f4426a8a694bfd73cbdee38fb3">
  <xsd:schema xmlns:xsd="http://www.w3.org/2001/XMLSchema" xmlns:xs="http://www.w3.org/2001/XMLSchema" xmlns:p="http://schemas.microsoft.com/office/2006/metadata/properties" xmlns:ns2="fc71e851-029c-4432-82bb-3ff89f62f0df" xmlns:ns3="5a3e2baa-b2d4-4c01-984d-67f701d048c9" targetNamespace="http://schemas.microsoft.com/office/2006/metadata/properties" ma:root="true" ma:fieldsID="2a08c637fa54398d43b27bf181fc282d" ns2:_="" ns3:_="">
    <xsd:import namespace="fc71e851-029c-4432-82bb-3ff89f62f0df"/>
    <xsd:import namespace="5a3e2baa-b2d4-4c01-984d-67f701d048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1e851-029c-4432-82bb-3ff89f62f0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3e2baa-b2d4-4c01-984d-67f701d048c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C4518-75D8-402B-BB4F-D2E09D2A47F2}">
  <ds:schemaRefs>
    <ds:schemaRef ds:uri="http://purl.org/dc/elements/1.1/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c9913a60-b751-470e-a3b9-a582e98c3566"/>
    <ds:schemaRef ds:uri="f46f071b-9d21-4ddb-b0c7-3c39fc9e34ac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3809EAD-4A21-44BD-B3A8-9D56CCEEF5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221A1C-3B6E-4680-9786-B92B041B9091}"/>
</file>

<file path=customXml/itemProps4.xml><?xml version="1.0" encoding="utf-8"?>
<ds:datastoreItem xmlns:ds="http://schemas.openxmlformats.org/officeDocument/2006/customXml" ds:itemID="{7159E3C3-7B9D-4135-BCF4-53BB1AFFF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3165</TotalTime>
  <Pages>4</Pages>
  <Words>894</Words>
  <Characters>5097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Fernandez Debets - Dep. President (Clubs and Societies)</dc:creator>
  <cp:keywords/>
  <dc:description/>
  <cp:lastModifiedBy>Thomas Fernandez Debets - Dep. President (Clubs and Societies)</cp:lastModifiedBy>
  <cp:revision>144</cp:revision>
  <dcterms:created xsi:type="dcterms:W3CDTF">2020-01-15T09:33:00Z</dcterms:created>
  <dcterms:modified xsi:type="dcterms:W3CDTF">2020-02-05T10:43:00Z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0x010100D95427089BE2EC43B5C68DD5A31F1834</vt:lpwstr>
  </property>
</Properties>
</file>