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0802ED" w:rsidP="00B873EB" w:rsidRDefault="00B873EB" w14:paraId="06A38C7A" w14:textId="77777777">
      <w:pPr>
        <w:jc w:val="center"/>
      </w:pPr>
      <w:r w:rsidRPr="00FE5124">
        <w:rPr>
          <w:rFonts w:ascii="Arial" w:hAnsi="Arial" w:cs="Arial"/>
          <w:noProof/>
          <w:lang w:eastAsia="en-GB"/>
        </w:rPr>
        <w:drawing>
          <wp:inline distT="0" distB="0" distL="0" distR="0" wp14:anchorId="06A38C91" wp14:editId="06A38C92">
            <wp:extent cx="1266825" cy="647700"/>
            <wp:effectExtent l="19050" t="0" r="9525" b="0"/>
            <wp:docPr id="5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3EB" w:rsidP="00B873EB" w:rsidRDefault="00B873EB" w14:paraId="06A38C7B" w14:textId="77777777">
      <w:pPr>
        <w:pStyle w:val="Default"/>
      </w:pPr>
    </w:p>
    <w:p w:rsidR="00637400" w:rsidP="00B873EB" w:rsidRDefault="00B873EB" w14:paraId="017DDCA2" w14:textId="77777777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Imperial College Union </w:t>
      </w:r>
    </w:p>
    <w:p w:rsidR="00B873EB" w:rsidP="00B873EB" w:rsidRDefault="005529D8" w14:paraId="06A38C7C" w14:textId="245239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Finance and Risk</w:t>
      </w:r>
      <w:r w:rsidR="00B873EB">
        <w:rPr>
          <w:b/>
          <w:bCs/>
          <w:sz w:val="28"/>
          <w:szCs w:val="28"/>
        </w:rPr>
        <w:t xml:space="preserve"> Committee</w:t>
      </w:r>
    </w:p>
    <w:p w:rsidR="00B873EB" w:rsidP="00B873EB" w:rsidRDefault="00844CD3" w14:paraId="06A38C7D" w14:textId="1B6F5AD8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5 February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8"/>
      </w:tblGrid>
      <w:tr w:rsidR="00B873EB" w:rsidTr="61967E16" w14:paraId="06A38C80" w14:textId="77777777">
        <w:trPr>
          <w:trHeight w:val="902"/>
        </w:trPr>
        <w:tc>
          <w:tcPr>
            <w:tcW w:w="4448" w:type="dxa"/>
          </w:tcPr>
          <w:p w:rsidRPr="00B873EB" w:rsidR="00B873EB" w:rsidP="00B873EB" w:rsidRDefault="00B873EB" w14:paraId="06A38C7E" w14:textId="77777777">
            <w:pPr>
              <w:rPr>
                <w:b/>
                <w:color w:val="FF0000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AGENDA ITEM NO.</w:t>
            </w:r>
          </w:p>
        </w:tc>
        <w:tc>
          <w:tcPr>
            <w:tcW w:w="4448" w:type="dxa"/>
          </w:tcPr>
          <w:p w:rsidRPr="00F0035B" w:rsidR="00B873EB" w:rsidP="00B873EB" w:rsidRDefault="00844CD3" w14:paraId="06A38C7F" w14:textId="31083CCF">
            <w:pPr>
              <w:jc w:val="center"/>
            </w:pPr>
            <w:r w:rsidRPr="00F0035B">
              <w:t>Item 09</w:t>
            </w:r>
          </w:p>
        </w:tc>
      </w:tr>
      <w:tr w:rsidR="00B873EB" w:rsidTr="61967E16" w14:paraId="06A38C83" w14:textId="77777777">
        <w:trPr>
          <w:trHeight w:val="943"/>
        </w:trPr>
        <w:tc>
          <w:tcPr>
            <w:tcW w:w="4448" w:type="dxa"/>
          </w:tcPr>
          <w:p w:rsidRPr="00B873EB" w:rsidR="00B873EB" w:rsidP="00B873EB" w:rsidRDefault="00B873EB" w14:paraId="06A38C81" w14:textId="77777777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TITLE</w:t>
            </w:r>
          </w:p>
        </w:tc>
        <w:tc>
          <w:tcPr>
            <w:tcW w:w="4448" w:type="dxa"/>
          </w:tcPr>
          <w:p w:rsidRPr="00F0035B" w:rsidR="00B873EB" w:rsidP="61967E16" w:rsidRDefault="00844CD3" w14:paraId="06A38C82" w14:textId="541E7CC0">
            <w:pPr>
              <w:jc w:val="center"/>
            </w:pPr>
            <w:r w:rsidRPr="00F0035B">
              <w:t>Forecast and Half Year Review</w:t>
            </w:r>
          </w:p>
        </w:tc>
      </w:tr>
      <w:tr w:rsidR="00B873EB" w:rsidTr="61967E16" w14:paraId="06A38C86" w14:textId="77777777">
        <w:trPr>
          <w:trHeight w:val="902"/>
        </w:trPr>
        <w:tc>
          <w:tcPr>
            <w:tcW w:w="4448" w:type="dxa"/>
          </w:tcPr>
          <w:p w:rsidRPr="00B873EB" w:rsidR="00B873EB" w:rsidP="00B873EB" w:rsidRDefault="00B873EB" w14:paraId="06A38C84" w14:textId="77777777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AUTHOR</w:t>
            </w:r>
          </w:p>
        </w:tc>
        <w:tc>
          <w:tcPr>
            <w:tcW w:w="4448" w:type="dxa"/>
          </w:tcPr>
          <w:p w:rsidRPr="00F0035B" w:rsidR="00844CD3" w:rsidP="00844CD3" w:rsidRDefault="00844CD3" w14:paraId="06A38C85" w14:textId="39D3356B">
            <w:pPr>
              <w:jc w:val="center"/>
            </w:pPr>
            <w:r w:rsidRPr="00F0035B">
              <w:t>Malcolm Martin</w:t>
            </w:r>
          </w:p>
        </w:tc>
      </w:tr>
      <w:tr w:rsidR="00B873EB" w:rsidTr="61967E16" w14:paraId="06A38C89" w14:textId="77777777">
        <w:trPr>
          <w:trHeight w:val="943"/>
        </w:trPr>
        <w:tc>
          <w:tcPr>
            <w:tcW w:w="4448" w:type="dxa"/>
          </w:tcPr>
          <w:p w:rsidRPr="00B873EB" w:rsidR="00B873EB" w:rsidP="00B873EB" w:rsidRDefault="00B873EB" w14:paraId="06A38C87" w14:textId="77777777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EXECUTIVE SUMMARY</w:t>
            </w:r>
          </w:p>
        </w:tc>
        <w:tc>
          <w:tcPr>
            <w:tcW w:w="4448" w:type="dxa"/>
          </w:tcPr>
          <w:p w:rsidR="00B873EB" w:rsidP="004001B2" w:rsidRDefault="0058594D" w14:paraId="16A553D5" w14:textId="7F561C9C">
            <w:pPr>
              <w:jc w:val="center"/>
            </w:pPr>
            <w:r>
              <w:t>The Strategic Management Group</w:t>
            </w:r>
            <w:r w:rsidR="004001B2">
              <w:t xml:space="preserve"> in January 2020</w:t>
            </w:r>
            <w:r>
              <w:t xml:space="preserve"> </w:t>
            </w:r>
            <w:r w:rsidR="0026125E">
              <w:t xml:space="preserve">led a detailed review of the current financial projections to 31 July 2020. </w:t>
            </w:r>
            <w:r w:rsidR="00693FBD">
              <w:t xml:space="preserve">The impact of </w:t>
            </w:r>
            <w:r w:rsidR="006A51E2">
              <w:t xml:space="preserve">the </w:t>
            </w:r>
            <w:r w:rsidR="001632F7">
              <w:t xml:space="preserve">loss of food services, </w:t>
            </w:r>
            <w:r w:rsidR="00745826">
              <w:t xml:space="preserve">the need for additional </w:t>
            </w:r>
            <w:r w:rsidR="004001B2">
              <w:t>resources</w:t>
            </w:r>
            <w:r w:rsidR="00745826">
              <w:t xml:space="preserve"> to address the Health and </w:t>
            </w:r>
            <w:r w:rsidR="004001B2">
              <w:t>Safety</w:t>
            </w:r>
            <w:r w:rsidR="00745826">
              <w:t xml:space="preserve"> concerns</w:t>
            </w:r>
            <w:r w:rsidR="006B5F1A">
              <w:t xml:space="preserve"> and the need for additional resources to address </w:t>
            </w:r>
            <w:r w:rsidR="005A2C6A">
              <w:t>some workloads</w:t>
            </w:r>
            <w:r w:rsidR="006B5F1A">
              <w:t xml:space="preserve"> ha</w:t>
            </w:r>
            <w:r w:rsidR="005A2C6A">
              <w:t>s</w:t>
            </w:r>
            <w:r w:rsidR="00ED4765">
              <w:t xml:space="preserve"> led to a projected downturn in performance by £294k. </w:t>
            </w:r>
          </w:p>
          <w:p w:rsidR="001415C1" w:rsidP="004001B2" w:rsidRDefault="001415C1" w14:paraId="5EBAFF68" w14:textId="77777777">
            <w:pPr>
              <w:jc w:val="center"/>
            </w:pPr>
          </w:p>
          <w:p w:rsidR="001415C1" w:rsidP="004001B2" w:rsidRDefault="001415C1" w14:paraId="5D5E0592" w14:textId="77777777">
            <w:pPr>
              <w:jc w:val="center"/>
            </w:pPr>
            <w:r>
              <w:t>T</w:t>
            </w:r>
            <w:r w:rsidR="009C22D7">
              <w:t>his</w:t>
            </w:r>
            <w:r>
              <w:t xml:space="preserve"> paper presents the highlights from the SMG review</w:t>
            </w:r>
            <w:r w:rsidR="00D207E6">
              <w:t xml:space="preserve"> and provides an explanation for the downturn. </w:t>
            </w:r>
          </w:p>
          <w:p w:rsidR="00DC5BD0" w:rsidP="004001B2" w:rsidRDefault="00DC5BD0" w14:paraId="141E6F11" w14:textId="77777777">
            <w:pPr>
              <w:jc w:val="center"/>
            </w:pPr>
          </w:p>
          <w:p w:rsidRPr="00F0035B" w:rsidR="00DC5BD0" w:rsidP="004001B2" w:rsidRDefault="00E633D5" w14:paraId="06A38C88" w14:textId="0FE3CE39">
            <w:pPr>
              <w:jc w:val="center"/>
            </w:pPr>
            <w:r>
              <w:t>This paper does n</w:t>
            </w:r>
            <w:r w:rsidR="00416E5A">
              <w:t xml:space="preserve">ot provide the </w:t>
            </w:r>
            <w:r w:rsidR="005D27A4">
              <w:t>medium-term</w:t>
            </w:r>
            <w:r w:rsidR="00064874">
              <w:t xml:space="preserve"> financial</w:t>
            </w:r>
            <w:r w:rsidR="00416E5A">
              <w:t xml:space="preserve"> solutions needed at th</w:t>
            </w:r>
            <w:r w:rsidR="00BD1D4E">
              <w:t xml:space="preserve">is time. </w:t>
            </w:r>
          </w:p>
        </w:tc>
      </w:tr>
      <w:tr w:rsidR="00B873EB" w:rsidTr="61967E16" w14:paraId="06A38C8C" w14:textId="77777777">
        <w:trPr>
          <w:trHeight w:val="902"/>
        </w:trPr>
        <w:tc>
          <w:tcPr>
            <w:tcW w:w="4448" w:type="dxa"/>
          </w:tcPr>
          <w:p w:rsidRPr="00B873EB" w:rsidR="00B873EB" w:rsidP="00B873EB" w:rsidRDefault="00B873EB" w14:paraId="06A38C8A" w14:textId="77777777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PURPOSE</w:t>
            </w:r>
          </w:p>
        </w:tc>
        <w:tc>
          <w:tcPr>
            <w:tcW w:w="4448" w:type="dxa"/>
          </w:tcPr>
          <w:p w:rsidRPr="00F0035B" w:rsidR="00B873EB" w:rsidP="61967E16" w:rsidRDefault="004B2023" w14:paraId="06A38C8B" w14:textId="3B299A89">
            <w:pPr>
              <w:jc w:val="center"/>
            </w:pPr>
            <w:r w:rsidRPr="00F0035B">
              <w:t xml:space="preserve">To provide </w:t>
            </w:r>
            <w:r w:rsidR="002755F5">
              <w:t>a</w:t>
            </w:r>
            <w:r w:rsidR="00B73556">
              <w:t>n</w:t>
            </w:r>
            <w:r w:rsidR="002755F5">
              <w:t xml:space="preserve"> operating year end prediction </w:t>
            </w:r>
            <w:r w:rsidR="00B73556">
              <w:t xml:space="preserve">and comments about the financial health of the Union. </w:t>
            </w:r>
          </w:p>
        </w:tc>
      </w:tr>
      <w:tr w:rsidR="00B873EB" w:rsidTr="61967E16" w14:paraId="06A38C8F" w14:textId="77777777">
        <w:trPr>
          <w:trHeight w:val="902"/>
        </w:trPr>
        <w:tc>
          <w:tcPr>
            <w:tcW w:w="4448" w:type="dxa"/>
          </w:tcPr>
          <w:p w:rsidRPr="00B873EB" w:rsidR="00B873EB" w:rsidP="00B873EB" w:rsidRDefault="00B873EB" w14:paraId="06A38C8D" w14:textId="77777777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DECISION/ACTION REQUIRED</w:t>
            </w:r>
          </w:p>
        </w:tc>
        <w:tc>
          <w:tcPr>
            <w:tcW w:w="4448" w:type="dxa"/>
          </w:tcPr>
          <w:p w:rsidR="00B873EB" w:rsidP="61967E16" w:rsidRDefault="0013648D" w14:paraId="06A38C8E" w14:textId="2701E9A4">
            <w:pPr>
              <w:jc w:val="center"/>
              <w:rPr>
                <w:color w:val="FF0000"/>
              </w:rPr>
            </w:pPr>
            <w:r w:rsidRPr="0013648D">
              <w:t xml:space="preserve">For discussion </w:t>
            </w:r>
          </w:p>
        </w:tc>
      </w:tr>
    </w:tbl>
    <w:p w:rsidR="00B873EB" w:rsidP="00B873EB" w:rsidRDefault="00B873EB" w14:paraId="06A38C90" w14:textId="7E348090">
      <w:pPr>
        <w:jc w:val="center"/>
        <w:rPr>
          <w:color w:val="FF0000"/>
        </w:rPr>
      </w:pPr>
    </w:p>
    <w:p w:rsidR="002F7C43" w:rsidP="00B873EB" w:rsidRDefault="002F7C43" w14:paraId="3F3503F5" w14:textId="6FE59A5A">
      <w:pPr>
        <w:jc w:val="center"/>
        <w:rPr>
          <w:color w:val="FF0000"/>
        </w:rPr>
      </w:pPr>
    </w:p>
    <w:p w:rsidR="002F7C43" w:rsidP="00B873EB" w:rsidRDefault="002F7C43" w14:paraId="565F726B" w14:textId="26B5594D">
      <w:pPr>
        <w:jc w:val="center"/>
        <w:rPr>
          <w:color w:val="FF0000"/>
        </w:rPr>
      </w:pPr>
    </w:p>
    <w:p w:rsidR="00A87741" w:rsidP="00BF18CE" w:rsidRDefault="00A87741" w14:paraId="30F83490" w14:textId="77777777">
      <w:pPr>
        <w:spacing w:after="0"/>
        <w:rPr>
          <w:color w:val="FF0000"/>
        </w:rPr>
      </w:pPr>
    </w:p>
    <w:p w:rsidR="00A87741" w:rsidP="00BF18CE" w:rsidRDefault="00A87741" w14:paraId="0DA990D0" w14:textId="77777777">
      <w:pPr>
        <w:spacing w:after="0"/>
        <w:rPr>
          <w:color w:val="FF0000"/>
        </w:rPr>
      </w:pPr>
    </w:p>
    <w:p w:rsidRPr="00A836E5" w:rsidR="002F7C43" w:rsidP="00BF18CE" w:rsidRDefault="00BF18CE" w14:paraId="03787138" w14:textId="3D05415E">
      <w:pPr>
        <w:spacing w:after="0"/>
        <w:rPr>
          <w:b/>
        </w:rPr>
      </w:pPr>
      <w:r w:rsidRPr="00A836E5">
        <w:rPr>
          <w:b/>
        </w:rPr>
        <w:lastRenderedPageBreak/>
        <w:t>Executive Summary</w:t>
      </w:r>
    </w:p>
    <w:p w:rsidR="00BF18CE" w:rsidP="00BF18CE" w:rsidRDefault="00BF18CE" w14:paraId="13CD0CE2" w14:textId="41C4C6D9">
      <w:pPr>
        <w:spacing w:after="0"/>
      </w:pPr>
    </w:p>
    <w:p w:rsidR="00C6191E" w:rsidP="00BF18CE" w:rsidRDefault="00C6191E" w14:paraId="350D4721" w14:textId="596E7DBA">
      <w:pPr>
        <w:spacing w:after="0"/>
      </w:pPr>
    </w:p>
    <w:tbl>
      <w:tblPr>
        <w:tblW w:w="6380" w:type="dxa"/>
        <w:tblLook w:val="04A0" w:firstRow="1" w:lastRow="0" w:firstColumn="1" w:lastColumn="0" w:noHBand="0" w:noVBand="1"/>
      </w:tblPr>
      <w:tblGrid>
        <w:gridCol w:w="2400"/>
        <w:gridCol w:w="1600"/>
        <w:gridCol w:w="1420"/>
        <w:gridCol w:w="960"/>
      </w:tblGrid>
      <w:tr w:rsidRPr="00C6191E" w:rsidR="00C6191E" w:rsidTr="00C6191E" w14:paraId="52615D56" w14:textId="77777777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1D2FFE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554557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60366D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2324B5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Pr="00C6191E" w:rsidR="00C6191E" w:rsidTr="00C6191E" w14:paraId="6831AF3D" w14:textId="77777777">
        <w:trPr>
          <w:trHeight w:val="493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7C4690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Summary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7B8" w:rsidP="00C6191E" w:rsidRDefault="00C6191E" w14:paraId="3736E8B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Forecast </w:t>
            </w:r>
          </w:p>
          <w:p w:rsidRPr="00C6191E" w:rsidR="00C6191E" w:rsidP="00C6191E" w:rsidRDefault="00C6191E" w14:paraId="3A2AD2F0" w14:textId="093AFE35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19/20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6191E" w:rsidR="00C6191E" w:rsidP="00C6191E" w:rsidRDefault="00C6191E" w14:paraId="17EB10D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Budget</w:t>
            </w: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br/>
            </w: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19/20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6191E" w:rsidR="00C6191E" w:rsidP="00C6191E" w:rsidRDefault="00C6191E" w14:paraId="2FF1BEC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Var.</w:t>
            </w:r>
          </w:p>
        </w:tc>
      </w:tr>
      <w:tr w:rsidRPr="00C6191E" w:rsidR="00C6191E" w:rsidTr="00C6191E" w14:paraId="1FBCB071" w14:textId="77777777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551C9F2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6191E" w:rsidR="00C6191E" w:rsidP="00C6191E" w:rsidRDefault="00C6191E" w14:paraId="4612C63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£'000's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6191E" w:rsidR="00C6191E" w:rsidP="00C6191E" w:rsidRDefault="00C6191E" w14:paraId="594B933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£'000's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6191E" w:rsidR="00C6191E" w:rsidP="00C6191E" w:rsidRDefault="00C6191E" w14:paraId="435B46E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£'000's</w:t>
            </w:r>
          </w:p>
        </w:tc>
      </w:tr>
      <w:tr w:rsidRPr="00C6191E" w:rsidR="00C6191E" w:rsidTr="00C6191E" w14:paraId="276F1788" w14:textId="77777777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24C9975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64BF0E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1099BCE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74EF9D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Pr="00C6191E" w:rsidR="00C6191E" w:rsidTr="00C6191E" w14:paraId="6DB8D22B" w14:textId="77777777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6BE67A1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Income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03E5F130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5,401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2762809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5,719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08EC565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FF0000"/>
                <w:lang w:eastAsia="en-GB"/>
              </w:rPr>
              <w:t>(318)</w:t>
            </w:r>
          </w:p>
        </w:tc>
      </w:tr>
      <w:tr w:rsidRPr="00C6191E" w:rsidR="00C6191E" w:rsidTr="00C6191E" w14:paraId="5D2B2087" w14:textId="77777777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6663AC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Cost of Goods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18ED5910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FF0000"/>
                <w:lang w:eastAsia="en-GB"/>
              </w:rPr>
              <w:t>(1,351)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647E7C4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FF0000"/>
                <w:lang w:eastAsia="en-GB"/>
              </w:rPr>
              <w:t>(1,440)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6373665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89</w:t>
            </w:r>
          </w:p>
        </w:tc>
      </w:tr>
      <w:tr w:rsidRPr="00C6191E" w:rsidR="00C6191E" w:rsidTr="00C6191E" w14:paraId="6FCB6018" w14:textId="77777777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5A8BC8F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Gross Profit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3FA9711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4,051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6265470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4,279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62624A5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FF0000"/>
                <w:lang w:eastAsia="en-GB"/>
              </w:rPr>
              <w:t>(228)</w:t>
            </w:r>
          </w:p>
        </w:tc>
      </w:tr>
      <w:tr w:rsidRPr="00C6191E" w:rsidR="00C6191E" w:rsidTr="00C6191E" w14:paraId="29AA4696" w14:textId="77777777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68326D2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71927BD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75%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1BA6891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75%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5EE59C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6191E" w:rsidR="00C6191E" w:rsidTr="00C6191E" w14:paraId="1ECA652D" w14:textId="77777777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0462B1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Staff Costs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5947E5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36330E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5FCEE2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6191E" w:rsidR="00C6191E" w:rsidTr="00C6191E" w14:paraId="63855EA3" w14:textId="77777777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559844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Permanent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4D87704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FF0000"/>
                <w:lang w:eastAsia="en-GB"/>
              </w:rPr>
              <w:t>(2,737)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5FEA647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FF0000"/>
                <w:lang w:eastAsia="en-GB"/>
              </w:rPr>
              <w:t>(2,863)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3E1C6CC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126</w:t>
            </w:r>
          </w:p>
        </w:tc>
      </w:tr>
      <w:tr w:rsidRPr="00C6191E" w:rsidR="00C6191E" w:rsidTr="00C6191E" w14:paraId="4AE73F29" w14:textId="77777777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0E8C7F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Temporary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3EFDE43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FF0000"/>
                <w:lang w:eastAsia="en-GB"/>
              </w:rPr>
              <w:t>(661)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2D287030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FF0000"/>
                <w:lang w:eastAsia="en-GB"/>
              </w:rPr>
              <w:t>(583)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0364BE5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FF0000"/>
                <w:lang w:eastAsia="en-GB"/>
              </w:rPr>
              <w:t>(79)</w:t>
            </w:r>
          </w:p>
        </w:tc>
      </w:tr>
      <w:tr w:rsidRPr="00C6191E" w:rsidR="00C6191E" w:rsidTr="00C6191E" w14:paraId="6F08C882" w14:textId="77777777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246EF82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5032344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FF0000"/>
                <w:lang w:eastAsia="en-GB"/>
              </w:rPr>
              <w:t>(3,398)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310D42C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FF0000"/>
                <w:lang w:eastAsia="en-GB"/>
              </w:rPr>
              <w:t>(3,446)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64C830E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48</w:t>
            </w:r>
          </w:p>
        </w:tc>
      </w:tr>
      <w:tr w:rsidRPr="00C6191E" w:rsidR="00C6191E" w:rsidTr="00C6191E" w14:paraId="0F624FD4" w14:textId="77777777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3F0125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Other Direct Costs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29F841D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FF0000"/>
                <w:lang w:eastAsia="en-GB"/>
              </w:rPr>
              <w:t>(873)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34038DB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FF0000"/>
                <w:lang w:eastAsia="en-GB"/>
              </w:rPr>
              <w:t>(759)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07602B1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FF0000"/>
                <w:lang w:eastAsia="en-GB"/>
              </w:rPr>
              <w:t>(114)</w:t>
            </w:r>
          </w:p>
        </w:tc>
      </w:tr>
      <w:tr w:rsidRPr="00C6191E" w:rsidR="00C6191E" w:rsidTr="00C6191E" w14:paraId="623069A4" w14:textId="77777777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499D21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Depreciation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2C0DA44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FF0000"/>
                <w:lang w:eastAsia="en-GB"/>
              </w:rPr>
              <w:t>(264)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2264A3E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FF0000"/>
                <w:lang w:eastAsia="en-GB"/>
              </w:rPr>
              <w:t>(264)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09F0491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FF0000"/>
                <w:lang w:eastAsia="en-GB"/>
              </w:rPr>
              <w:t>(0)</w:t>
            </w:r>
          </w:p>
        </w:tc>
      </w:tr>
      <w:tr w:rsidRPr="00C6191E" w:rsidR="00C6191E" w:rsidTr="00C6191E" w14:paraId="1663917C" w14:textId="77777777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7651AF90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36C912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5ACD69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15526E7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6191E" w:rsidR="00C6191E" w:rsidTr="00C6191E" w14:paraId="18C8BCC8" w14:textId="77777777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04D110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638118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6A883B2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075311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6191E" w:rsidR="00C6191E" w:rsidTr="00C6191E" w14:paraId="419250A1" w14:textId="77777777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67FF0E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Total Exp.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3EEBDAB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FF0000"/>
                <w:lang w:eastAsia="en-GB"/>
              </w:rPr>
              <w:t>(4,535)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7932385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FF0000"/>
                <w:lang w:eastAsia="en-GB"/>
              </w:rPr>
              <w:t>(4,469)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16A7E1E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FF0000"/>
                <w:lang w:eastAsia="en-GB"/>
              </w:rPr>
              <w:t>(66)</w:t>
            </w:r>
          </w:p>
        </w:tc>
      </w:tr>
      <w:tr w:rsidRPr="00C6191E" w:rsidR="00C6191E" w:rsidTr="00C6191E" w14:paraId="42EA7DCD" w14:textId="77777777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252C180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27A312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360A5E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46E464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6191E" w:rsidR="00C6191E" w:rsidTr="00C6191E" w14:paraId="017C6AB2" w14:textId="77777777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38E908A6" w14:textId="29436B1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Net Surp</w:t>
            </w:r>
            <w:r w:rsidR="003D6ED1">
              <w:rPr>
                <w:rFonts w:ascii="Calibri" w:hAnsi="Calibri" w:eastAsia="Times New Roman" w:cs="Calibri"/>
                <w:color w:val="000000"/>
                <w:lang w:eastAsia="en-GB"/>
              </w:rPr>
              <w:t>lus</w:t>
            </w:r>
            <w:r w:rsidRPr="00C6191E">
              <w:rPr>
                <w:rFonts w:ascii="Calibri" w:hAnsi="Calibri" w:eastAsia="Times New Roman" w:cs="Calibri"/>
                <w:color w:val="000000"/>
                <w:lang w:eastAsia="en-GB"/>
              </w:rPr>
              <w:t>/(deficit)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5EFDA6B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FF0000"/>
                <w:lang w:eastAsia="en-GB"/>
              </w:rPr>
              <w:t>(484)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43F18F3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FF0000"/>
                <w:lang w:eastAsia="en-GB"/>
              </w:rPr>
              <w:t>(190)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2510684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6191E">
              <w:rPr>
                <w:rFonts w:ascii="Calibri" w:hAnsi="Calibri" w:eastAsia="Times New Roman" w:cs="Calibri"/>
                <w:color w:val="FF0000"/>
                <w:lang w:eastAsia="en-GB"/>
              </w:rPr>
              <w:t>(294)</w:t>
            </w:r>
          </w:p>
        </w:tc>
      </w:tr>
      <w:tr w:rsidRPr="00C6191E" w:rsidR="00C6191E" w:rsidTr="00C6191E" w14:paraId="7396A583" w14:textId="77777777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1D15E36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6BC22E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1380C2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191E" w:rsidR="00C6191E" w:rsidP="00C6191E" w:rsidRDefault="00C6191E" w14:paraId="4DBD55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C6191E" w:rsidP="00BF18CE" w:rsidRDefault="00C6191E" w14:paraId="7EDA2002" w14:textId="32E589A7">
      <w:pPr>
        <w:spacing w:after="0"/>
      </w:pPr>
    </w:p>
    <w:p w:rsidR="00A836E5" w:rsidP="00BF18CE" w:rsidRDefault="00D449F2" w14:paraId="4FD8975A" w14:textId="2F349389">
      <w:pPr>
        <w:spacing w:after="0"/>
      </w:pPr>
      <w:r>
        <w:t>The above table show a pr</w:t>
      </w:r>
      <w:r w:rsidR="004F5C5E">
        <w:t xml:space="preserve">ojected forecast of </w:t>
      </w:r>
      <w:proofErr w:type="gramStart"/>
      <w:r w:rsidR="004F5C5E">
        <w:t>£(</w:t>
      </w:r>
      <w:proofErr w:type="gramEnd"/>
      <w:r w:rsidR="004F5C5E">
        <w:t>484,000) being a</w:t>
      </w:r>
      <w:r w:rsidR="00842D58">
        <w:t xml:space="preserve">pproximately £294,000 below the original budget. </w:t>
      </w:r>
      <w:r w:rsidR="00867775">
        <w:t>Gross profit is under</w:t>
      </w:r>
      <w:r w:rsidR="00770943">
        <w:t xml:space="preserve"> </w:t>
      </w:r>
      <w:r w:rsidR="00867775">
        <w:t>budget by £228k (5.3</w:t>
      </w:r>
      <w:r w:rsidR="00255267">
        <w:t>%) and expenditure is over budget by £66k (</w:t>
      </w:r>
      <w:r w:rsidR="008966E8">
        <w:t xml:space="preserve">1.5%). </w:t>
      </w:r>
      <w:r w:rsidR="00D930AF">
        <w:t>Both income and expenditure are below expectations.</w:t>
      </w:r>
    </w:p>
    <w:p w:rsidR="00842D58" w:rsidP="00BF18CE" w:rsidRDefault="00842D58" w14:paraId="5EC0AD17" w14:textId="20BD3C59">
      <w:pPr>
        <w:spacing w:after="0"/>
      </w:pPr>
    </w:p>
    <w:p w:rsidR="00842D58" w:rsidP="00BF18CE" w:rsidRDefault="00197131" w14:paraId="16C0F8E1" w14:textId="6D857711">
      <w:pPr>
        <w:spacing w:after="0"/>
      </w:pPr>
      <w:r>
        <w:t xml:space="preserve">Having reviewed the individual </w:t>
      </w:r>
      <w:r w:rsidR="003D6ED1">
        <w:t xml:space="preserve">financial </w:t>
      </w:r>
      <w:r w:rsidR="00F22C8C">
        <w:t xml:space="preserve">submissions from </w:t>
      </w:r>
      <w:r w:rsidR="00877633">
        <w:t xml:space="preserve">the Strategic Management </w:t>
      </w:r>
      <w:r w:rsidR="00F22C8C">
        <w:t>G</w:t>
      </w:r>
      <w:r w:rsidR="00877633">
        <w:t>roup</w:t>
      </w:r>
      <w:r>
        <w:t xml:space="preserve"> </w:t>
      </w:r>
      <w:r w:rsidR="003D6ED1">
        <w:t xml:space="preserve">supported by the </w:t>
      </w:r>
      <w:r w:rsidR="007A6612">
        <w:t xml:space="preserve">respective budget holders, </w:t>
      </w:r>
      <w:r>
        <w:t xml:space="preserve">the main reasons for the variance from budget are: </w:t>
      </w:r>
    </w:p>
    <w:p w:rsidR="00B95ED2" w:rsidP="00BF18CE" w:rsidRDefault="00B95ED2" w14:paraId="16853B1F" w14:textId="1039BEE6">
      <w:pPr>
        <w:spacing w:after="0"/>
      </w:pPr>
    </w:p>
    <w:p w:rsidR="00B95ED2" w:rsidP="00B3527E" w:rsidRDefault="00B95ED2" w14:paraId="125D3E98" w14:textId="3E28C5FF">
      <w:pPr>
        <w:pStyle w:val="ListParagraph"/>
        <w:numPr>
          <w:ilvl w:val="0"/>
          <w:numId w:val="1"/>
        </w:numPr>
        <w:spacing w:after="0"/>
      </w:pPr>
      <w:r>
        <w:t xml:space="preserve">The loss of income from </w:t>
      </w:r>
      <w:r w:rsidR="00210CCE">
        <w:t xml:space="preserve">commercial services </w:t>
      </w:r>
      <w:r w:rsidR="003778D3">
        <w:t xml:space="preserve">because of the </w:t>
      </w:r>
      <w:r w:rsidR="00210CCE">
        <w:t xml:space="preserve">closure of </w:t>
      </w:r>
      <w:r w:rsidR="003778D3">
        <w:t xml:space="preserve">the </w:t>
      </w:r>
      <w:proofErr w:type="gramStart"/>
      <w:r w:rsidR="00210CCE">
        <w:t>568 kitchen</w:t>
      </w:r>
      <w:proofErr w:type="gramEnd"/>
      <w:r w:rsidR="008C07AF">
        <w:t xml:space="preserve"> due to </w:t>
      </w:r>
      <w:r w:rsidR="0049636D">
        <w:t xml:space="preserve">environmental and electrical </w:t>
      </w:r>
      <w:r w:rsidR="00D1746E">
        <w:t>health and safety challenges</w:t>
      </w:r>
    </w:p>
    <w:p w:rsidR="00210CCE" w:rsidP="00B3527E" w:rsidRDefault="00CC3E9A" w14:paraId="28B12216" w14:textId="0950AB4E">
      <w:pPr>
        <w:pStyle w:val="ListParagraph"/>
        <w:numPr>
          <w:ilvl w:val="0"/>
          <w:numId w:val="1"/>
        </w:numPr>
        <w:spacing w:after="0"/>
      </w:pPr>
      <w:r>
        <w:t>The d</w:t>
      </w:r>
      <w:r w:rsidR="00EB5DB8">
        <w:t xml:space="preserve">elay in the </w:t>
      </w:r>
      <w:r w:rsidR="00B51C92">
        <w:t>commencement of the new food offer from H Bar</w:t>
      </w:r>
      <w:r w:rsidR="00EE56A9">
        <w:t xml:space="preserve"> due to staff resourcing and the delay in </w:t>
      </w:r>
      <w:r w:rsidR="00EC1DAF">
        <w:t xml:space="preserve">College space allocation </w:t>
      </w:r>
    </w:p>
    <w:p w:rsidR="0058563E" w:rsidP="00B3527E" w:rsidRDefault="00CC3E9A" w14:paraId="1DC97684" w14:textId="0C6FC526">
      <w:pPr>
        <w:pStyle w:val="ListParagraph"/>
        <w:numPr>
          <w:ilvl w:val="0"/>
          <w:numId w:val="1"/>
        </w:numPr>
        <w:spacing w:after="0"/>
      </w:pPr>
      <w:r>
        <w:t>The u</w:t>
      </w:r>
      <w:r w:rsidR="0058563E">
        <w:t xml:space="preserve">nanticipated additional management costs </w:t>
      </w:r>
      <w:r w:rsidR="001F5C8E">
        <w:t>(lieu of notice and severance costs)</w:t>
      </w:r>
    </w:p>
    <w:p w:rsidR="0058563E" w:rsidP="00B3527E" w:rsidRDefault="00827612" w14:paraId="28CB9314" w14:textId="744322B7">
      <w:pPr>
        <w:pStyle w:val="ListParagraph"/>
        <w:numPr>
          <w:ilvl w:val="0"/>
          <w:numId w:val="1"/>
        </w:numPr>
        <w:spacing w:after="0"/>
      </w:pPr>
      <w:r>
        <w:t>The a</w:t>
      </w:r>
      <w:r w:rsidR="0058563E">
        <w:t xml:space="preserve">dditional staff resource </w:t>
      </w:r>
      <w:r w:rsidR="00B61109">
        <w:t xml:space="preserve">in key support areas </w:t>
      </w:r>
      <w:r w:rsidR="007B2FE3">
        <w:t>to address work load concerns</w:t>
      </w:r>
    </w:p>
    <w:p w:rsidR="00B61109" w:rsidP="00B3527E" w:rsidRDefault="00F36F99" w14:paraId="68B6742E" w14:textId="456934E7">
      <w:pPr>
        <w:pStyle w:val="ListParagraph"/>
        <w:numPr>
          <w:ilvl w:val="0"/>
          <w:numId w:val="1"/>
        </w:numPr>
        <w:spacing w:after="0"/>
      </w:pPr>
      <w:r>
        <w:t xml:space="preserve">Additional resources set aside to address the health and safety </w:t>
      </w:r>
      <w:r w:rsidR="001A4EBB">
        <w:t>concerns</w:t>
      </w:r>
    </w:p>
    <w:p w:rsidR="005222B7" w:rsidP="00BF18CE" w:rsidRDefault="005222B7" w14:paraId="66EC5F4A" w14:textId="77777777">
      <w:pPr>
        <w:spacing w:after="0"/>
      </w:pPr>
    </w:p>
    <w:p w:rsidR="00F22C8C" w:rsidP="00BF18CE" w:rsidRDefault="00346E61" w14:paraId="5F765ED9" w14:textId="4D726E4D">
      <w:pPr>
        <w:spacing w:after="0"/>
      </w:pPr>
      <w:r>
        <w:t xml:space="preserve">The 568 </w:t>
      </w:r>
      <w:r w:rsidR="00827612">
        <w:t>kitchens</w:t>
      </w:r>
      <w:r>
        <w:t xml:space="preserve"> ha</w:t>
      </w:r>
      <w:r w:rsidR="00827612">
        <w:t>ve</w:t>
      </w:r>
      <w:r>
        <w:t xml:space="preserve"> now reopened</w:t>
      </w:r>
      <w:r w:rsidR="00BD5D47">
        <w:t>,</w:t>
      </w:r>
      <w:r>
        <w:t xml:space="preserve"> </w:t>
      </w:r>
      <w:r w:rsidR="00801A73">
        <w:t>however given the</w:t>
      </w:r>
      <w:r w:rsidR="00AD04B9">
        <w:t xml:space="preserve"> loss of footfall momentum </w:t>
      </w:r>
      <w:r w:rsidR="006654E4">
        <w:t xml:space="preserve">it will be difficult to </w:t>
      </w:r>
      <w:r w:rsidR="00A474FC">
        <w:t xml:space="preserve">achieve the original trajectory </w:t>
      </w:r>
      <w:r w:rsidR="00855B2B">
        <w:t>of anticipated</w:t>
      </w:r>
      <w:r w:rsidR="00A474FC">
        <w:t xml:space="preserve"> income</w:t>
      </w:r>
      <w:r w:rsidR="00BD5D47">
        <w:t xml:space="preserve"> </w:t>
      </w:r>
      <w:r w:rsidR="00203728">
        <w:t xml:space="preserve">during the remaining two terms </w:t>
      </w:r>
      <w:r w:rsidR="00BD5D47">
        <w:t xml:space="preserve">as captured in the original budget. </w:t>
      </w:r>
      <w:r w:rsidR="00A474FC">
        <w:t xml:space="preserve"> </w:t>
      </w:r>
      <w:r w:rsidR="00100846">
        <w:t>The forecast is predicting a gross profit short fall of £</w:t>
      </w:r>
      <w:r w:rsidR="006F0FDE">
        <w:t>15</w:t>
      </w:r>
      <w:r w:rsidR="00CE220C">
        <w:t>1</w:t>
      </w:r>
      <w:r w:rsidR="006F0FDE">
        <w:t xml:space="preserve">K </w:t>
      </w:r>
      <w:r w:rsidR="001B0605">
        <w:t>(12</w:t>
      </w:r>
      <w:r w:rsidR="008B0A84">
        <w:t xml:space="preserve">%) </w:t>
      </w:r>
      <w:r w:rsidR="006F0FDE">
        <w:t xml:space="preserve">from commercial </w:t>
      </w:r>
      <w:r w:rsidR="00A82335">
        <w:t xml:space="preserve">hospitality </w:t>
      </w:r>
      <w:r w:rsidR="006F0FDE">
        <w:t xml:space="preserve">operations out of Beit </w:t>
      </w:r>
      <w:r w:rsidR="00683382">
        <w:t xml:space="preserve">£93k of which </w:t>
      </w:r>
      <w:r w:rsidR="00A82335">
        <w:t>h</w:t>
      </w:r>
      <w:r w:rsidR="00683382">
        <w:t xml:space="preserve">as already </w:t>
      </w:r>
      <w:r w:rsidR="00A82335">
        <w:t>taken place.</w:t>
      </w:r>
      <w:r w:rsidR="00683382">
        <w:t xml:space="preserve"> </w:t>
      </w:r>
      <w:r w:rsidR="00E07F3C">
        <w:t xml:space="preserve">Steps have been taken to reduce staffing and other </w:t>
      </w:r>
      <w:r w:rsidR="00B416B7">
        <w:t xml:space="preserve">direct </w:t>
      </w:r>
      <w:r w:rsidR="00E07F3C">
        <w:t>costs</w:t>
      </w:r>
      <w:r w:rsidR="00D42700">
        <w:t xml:space="preserve"> while services have been closed</w:t>
      </w:r>
      <w:r w:rsidR="00F26C26">
        <w:t xml:space="preserve">, however the key issue is the loss of projected income. </w:t>
      </w:r>
    </w:p>
    <w:p w:rsidR="00855B2B" w:rsidP="00BF18CE" w:rsidRDefault="00855B2B" w14:paraId="2B44D1C9" w14:textId="0A30D60D">
      <w:pPr>
        <w:spacing w:after="0"/>
      </w:pPr>
    </w:p>
    <w:p w:rsidR="00855B2B" w:rsidP="00BF18CE" w:rsidRDefault="00855B2B" w14:paraId="0E9075E3" w14:textId="7141171A">
      <w:pPr>
        <w:spacing w:after="0"/>
      </w:pPr>
      <w:r>
        <w:lastRenderedPageBreak/>
        <w:t>The H Bar food offer is expected to start in February 2020</w:t>
      </w:r>
      <w:r w:rsidR="00500BAA">
        <w:t xml:space="preserve"> ha</w:t>
      </w:r>
      <w:r w:rsidR="00507625">
        <w:t>ving previously expected to start in term 1.</w:t>
      </w:r>
      <w:r>
        <w:t xml:space="preserve"> However, this offer will be </w:t>
      </w:r>
      <w:r w:rsidR="00B408F2">
        <w:t>at a reduced level</w:t>
      </w:r>
      <w:r w:rsidR="00507625">
        <w:t xml:space="preserve"> than what was envisaged</w:t>
      </w:r>
      <w:r w:rsidR="00B408F2">
        <w:t xml:space="preserve">. </w:t>
      </w:r>
      <w:r w:rsidR="00F53CD0">
        <w:t xml:space="preserve">The forecast </w:t>
      </w:r>
      <w:r w:rsidR="00F63127">
        <w:t xml:space="preserve">is predicting a gross profit shortfall of </w:t>
      </w:r>
      <w:r w:rsidR="004D2000">
        <w:t>£92k</w:t>
      </w:r>
      <w:r w:rsidR="002A2A97">
        <w:t xml:space="preserve"> (40%)</w:t>
      </w:r>
      <w:r w:rsidR="00C96538">
        <w:t xml:space="preserve">. </w:t>
      </w:r>
      <w:r w:rsidR="00715E22">
        <w:t xml:space="preserve">The loss of food services continues </w:t>
      </w:r>
      <w:r w:rsidR="009565AE">
        <w:t xml:space="preserve">to </w:t>
      </w:r>
      <w:r w:rsidR="000F55FF">
        <w:t xml:space="preserve">effect both wet and dry sales. </w:t>
      </w:r>
    </w:p>
    <w:p w:rsidR="00F22C8C" w:rsidP="00BF18CE" w:rsidRDefault="00F22C8C" w14:paraId="72FD6216" w14:textId="7D653519">
      <w:pPr>
        <w:spacing w:after="0"/>
      </w:pPr>
    </w:p>
    <w:p w:rsidR="00662184" w:rsidP="00BF18CE" w:rsidRDefault="00336D23" w14:paraId="2EB2FDBD" w14:textId="74CF9A8A">
      <w:pPr>
        <w:spacing w:after="0"/>
      </w:pPr>
      <w:r>
        <w:t xml:space="preserve">While </w:t>
      </w:r>
      <w:r w:rsidR="00C01AD9">
        <w:t xml:space="preserve">some unanticipated management costs have been </w:t>
      </w:r>
      <w:r w:rsidR="00D52ECF">
        <w:t>incurred, an</w:t>
      </w:r>
      <w:r w:rsidR="00C01AD9">
        <w:t xml:space="preserve"> additional £28k has been set aside to </w:t>
      </w:r>
      <w:r w:rsidR="0029500A">
        <w:t>support the Finance team during a period of transition</w:t>
      </w:r>
      <w:r w:rsidR="003710D5">
        <w:t xml:space="preserve"> and staff turnover while more efficient ways of working are being explored. </w:t>
      </w:r>
      <w:r w:rsidR="004F1BAD">
        <w:t xml:space="preserve">It is anticipated that the move to cashless processing </w:t>
      </w:r>
      <w:r w:rsidR="00D52ECF">
        <w:t xml:space="preserve">in the commercial outlets </w:t>
      </w:r>
      <w:r w:rsidR="004F1BAD">
        <w:t xml:space="preserve">will significantly </w:t>
      </w:r>
      <w:r w:rsidR="003F7797">
        <w:t xml:space="preserve">ease the work pressures in both Finance and Bar teams. </w:t>
      </w:r>
      <w:r w:rsidR="0029500A">
        <w:t xml:space="preserve"> </w:t>
      </w:r>
    </w:p>
    <w:p w:rsidR="00B65683" w:rsidP="00BF18CE" w:rsidRDefault="00B65683" w14:paraId="2BD8EF7D" w14:textId="7098810F">
      <w:pPr>
        <w:spacing w:after="0"/>
      </w:pPr>
    </w:p>
    <w:p w:rsidR="00FD72EB" w:rsidP="00BF18CE" w:rsidRDefault="00012197" w14:paraId="259C1982" w14:textId="37C47CD6">
      <w:pPr>
        <w:spacing w:after="0"/>
      </w:pPr>
      <w:r w:rsidR="00012197">
        <w:rPr/>
        <w:t>A Health and Safety</w:t>
      </w:r>
      <w:r w:rsidR="00B01441">
        <w:rPr/>
        <w:t xml:space="preserve"> consultant</w:t>
      </w:r>
      <w:r w:rsidR="00012197">
        <w:rPr/>
        <w:t xml:space="preserve"> </w:t>
      </w:r>
      <w:r w:rsidR="006B2F3B">
        <w:rPr/>
        <w:t>practitioner has already be</w:t>
      </w:r>
      <w:r w:rsidR="0016643B">
        <w:rPr/>
        <w:t>en</w:t>
      </w:r>
      <w:r w:rsidR="006B2F3B">
        <w:rPr/>
        <w:t xml:space="preserve"> </w:t>
      </w:r>
      <w:r w:rsidR="006B2F3B">
        <w:rPr/>
        <w:t>engaged</w:t>
      </w:r>
      <w:r w:rsidR="009F02E8">
        <w:rPr/>
        <w:t xml:space="preserve">, </w:t>
      </w:r>
      <w:r w:rsidR="006B2F3B">
        <w:rPr/>
        <w:t>it</w:t>
      </w:r>
      <w:r w:rsidR="006B2F3B">
        <w:rPr/>
        <w:t xml:space="preserve"> is anticipated that additional permanent resources will be</w:t>
      </w:r>
      <w:r w:rsidR="0049614F">
        <w:rPr/>
        <w:t xml:space="preserve"> recruited to </w:t>
      </w:r>
      <w:r w:rsidR="00EE2C23">
        <w:rPr/>
        <w:t>assist with the</w:t>
      </w:r>
      <w:r w:rsidR="006B2F3B">
        <w:rPr/>
        <w:t xml:space="preserve"> </w:t>
      </w:r>
      <w:r w:rsidR="00EE2C23">
        <w:rPr/>
        <w:t xml:space="preserve">implementation </w:t>
      </w:r>
      <w:r w:rsidR="00B01441">
        <w:rPr/>
        <w:t xml:space="preserve">of the various audit </w:t>
      </w:r>
      <w:r w:rsidR="0049614F">
        <w:rPr/>
        <w:t>recommendation</w:t>
      </w:r>
      <w:r w:rsidR="00B01441">
        <w:rPr/>
        <w:t xml:space="preserve"> </w:t>
      </w:r>
      <w:r w:rsidR="00EE2C23">
        <w:rPr/>
        <w:t xml:space="preserve">and monitor </w:t>
      </w:r>
      <w:r w:rsidR="0049614F">
        <w:rPr/>
        <w:t>the</w:t>
      </w:r>
      <w:r w:rsidR="006C2592">
        <w:rPr/>
        <w:t>re</w:t>
      </w:r>
      <w:r w:rsidR="0049614F">
        <w:rPr/>
        <w:t xml:space="preserve"> effective working. </w:t>
      </w:r>
      <w:r w:rsidR="0016643B">
        <w:rPr/>
        <w:t xml:space="preserve">£45k </w:t>
      </w:r>
      <w:r w:rsidR="006C2592">
        <w:rPr/>
        <w:t xml:space="preserve">of personnel cost has been </w:t>
      </w:r>
      <w:r w:rsidR="00796CBE">
        <w:rPr/>
        <w:t>set aside in additional to the £</w:t>
      </w:r>
      <w:r w:rsidR="004712D5">
        <w:rPr/>
        <w:t xml:space="preserve">16k </w:t>
      </w:r>
      <w:r w:rsidR="00796CBE">
        <w:rPr/>
        <w:t xml:space="preserve">capital </w:t>
      </w:r>
      <w:r w:rsidR="004712D5">
        <w:rPr/>
        <w:t xml:space="preserve">cost that has so far been identified as Union responsibility. </w:t>
      </w:r>
    </w:p>
    <w:p w:rsidR="004712D5" w:rsidP="00BF18CE" w:rsidRDefault="004712D5" w14:paraId="254EF411" w14:textId="60F5EE4A">
      <w:pPr>
        <w:spacing w:after="0"/>
      </w:pPr>
    </w:p>
    <w:p w:rsidR="004712D5" w:rsidP="00BF18CE" w:rsidRDefault="004712D5" w14:paraId="55C37CF9" w14:textId="77777777">
      <w:pPr>
        <w:spacing w:after="0"/>
      </w:pPr>
    </w:p>
    <w:p w:rsidRPr="00754A60" w:rsidR="00F16B6D" w:rsidP="00BF18CE" w:rsidRDefault="00F16B6D" w14:paraId="38EBDC14" w14:textId="533E4D08">
      <w:pPr>
        <w:spacing w:after="0"/>
        <w:rPr>
          <w:b/>
        </w:rPr>
      </w:pPr>
      <w:r w:rsidRPr="00754A60">
        <w:rPr>
          <w:b/>
        </w:rPr>
        <w:t>Risks</w:t>
      </w:r>
    </w:p>
    <w:p w:rsidR="001A24B8" w:rsidP="00BF18CE" w:rsidRDefault="00431D0F" w14:paraId="181E02CA" w14:textId="6F5721C4">
      <w:pPr>
        <w:spacing w:after="0"/>
      </w:pPr>
      <w:r>
        <w:t xml:space="preserve">The renovation works </w:t>
      </w:r>
      <w:r w:rsidR="00716EED">
        <w:t>currently planned for</w:t>
      </w:r>
      <w:r w:rsidR="003D7EC8">
        <w:t xml:space="preserve"> Union Concert Hal</w:t>
      </w:r>
      <w:r w:rsidR="00C63EB7">
        <w:t>l</w:t>
      </w:r>
      <w:r w:rsidR="00651B3F">
        <w:t xml:space="preserve"> over </w:t>
      </w:r>
      <w:r w:rsidR="00C63EB7">
        <w:t>Easter</w:t>
      </w:r>
      <w:r w:rsidR="003D7EC8">
        <w:t xml:space="preserve">, if they were to overrun would </w:t>
      </w:r>
      <w:r w:rsidR="00A8080C">
        <w:t>jeopard</w:t>
      </w:r>
      <w:r w:rsidR="00E332A8">
        <w:t xml:space="preserve">ise the income received during graduation </w:t>
      </w:r>
      <w:r w:rsidR="008B52D2">
        <w:t xml:space="preserve">for </w:t>
      </w:r>
      <w:r w:rsidR="00E332A8">
        <w:t xml:space="preserve">the hire of the spaces. </w:t>
      </w:r>
      <w:r w:rsidR="00DA6C2D">
        <w:t>Th</w:t>
      </w:r>
      <w:r w:rsidR="008B52D2">
        <w:t>is</w:t>
      </w:r>
      <w:r w:rsidR="00DA6C2D">
        <w:t xml:space="preserve"> is </w:t>
      </w:r>
      <w:r w:rsidR="008B52D2">
        <w:t>estimated to</w:t>
      </w:r>
      <w:r w:rsidR="00DA6C2D">
        <w:t xml:space="preserve"> be approx. £24k</w:t>
      </w:r>
      <w:r w:rsidR="00C63EB7">
        <w:t xml:space="preserve">. </w:t>
      </w:r>
      <w:r w:rsidR="002B5873">
        <w:t xml:space="preserve">The </w:t>
      </w:r>
      <w:r w:rsidR="00411D1C">
        <w:t xml:space="preserve">risk </w:t>
      </w:r>
      <w:r w:rsidR="00130F02">
        <w:t xml:space="preserve">escalates </w:t>
      </w:r>
      <w:r w:rsidR="002B5873">
        <w:t xml:space="preserve">when you </w:t>
      </w:r>
      <w:r w:rsidR="00411D1C">
        <w:t xml:space="preserve">consider </w:t>
      </w:r>
      <w:r w:rsidR="000F227D">
        <w:t xml:space="preserve">that this has been a </w:t>
      </w:r>
      <w:r w:rsidR="00977597">
        <w:t>long-standing</w:t>
      </w:r>
      <w:r w:rsidR="000F227D">
        <w:t xml:space="preserve"> arrangement, and if </w:t>
      </w:r>
      <w:r w:rsidR="00370E7A">
        <w:t xml:space="preserve">accommodation is </w:t>
      </w:r>
      <w:r w:rsidR="002967A2">
        <w:t xml:space="preserve">successfully sourced </w:t>
      </w:r>
      <w:r w:rsidR="00370E7A">
        <w:t>elsewhere</w:t>
      </w:r>
      <w:r w:rsidR="002967A2">
        <w:t xml:space="preserve"> the </w:t>
      </w:r>
      <w:r w:rsidR="00411D1C">
        <w:t>Union</w:t>
      </w:r>
      <w:r w:rsidR="002967A2">
        <w:t xml:space="preserve"> might not regain</w:t>
      </w:r>
      <w:r w:rsidR="00411D1C">
        <w:t xml:space="preserve"> this opportunity. </w:t>
      </w:r>
      <w:r w:rsidR="00370E7A">
        <w:t xml:space="preserve"> </w:t>
      </w:r>
      <w:r w:rsidR="00977597">
        <w:t xml:space="preserve">This </w:t>
      </w:r>
      <w:r w:rsidR="007829D8">
        <w:t xml:space="preserve">has </w:t>
      </w:r>
      <w:r w:rsidR="00977597">
        <w:t xml:space="preserve">a knock-on effect </w:t>
      </w:r>
      <w:r w:rsidR="007829D8">
        <w:t>on</w:t>
      </w:r>
      <w:r w:rsidR="00977597">
        <w:t xml:space="preserve"> hospitality and Retail income. </w:t>
      </w:r>
    </w:p>
    <w:p w:rsidR="00F16B6D" w:rsidP="00BF18CE" w:rsidRDefault="00F16B6D" w14:paraId="2D5298D2" w14:textId="0D2C51AB">
      <w:pPr>
        <w:spacing w:after="0"/>
      </w:pPr>
    </w:p>
    <w:p w:rsidR="00977597" w:rsidP="00BF18CE" w:rsidRDefault="00DB45B9" w14:paraId="7845C28B" w14:textId="4DB6976D">
      <w:pPr>
        <w:spacing w:after="0"/>
      </w:pPr>
      <w:r>
        <w:t xml:space="preserve">The Summer Ball budget has a modest projection of a £2k loss </w:t>
      </w:r>
      <w:r w:rsidR="006A11B0">
        <w:t xml:space="preserve">with an expenditure contingency. </w:t>
      </w:r>
      <w:r w:rsidR="00A74068">
        <w:t>However,</w:t>
      </w:r>
      <w:r w:rsidR="00182C1E">
        <w:t xml:space="preserve"> </w:t>
      </w:r>
      <w:r w:rsidR="00177B7D">
        <w:t>anticipated ticket</w:t>
      </w:r>
      <w:r w:rsidR="00A74068">
        <w:t xml:space="preserve"> sale income has increased from £60k </w:t>
      </w:r>
      <w:r w:rsidR="000E1908">
        <w:t xml:space="preserve">achieved in 2019 to £100k. </w:t>
      </w:r>
      <w:r w:rsidR="00123604">
        <w:t>The i</w:t>
      </w:r>
      <w:r w:rsidR="009458CC">
        <w:t>ncreased</w:t>
      </w:r>
      <w:r w:rsidR="00123604">
        <w:t xml:space="preserve"> </w:t>
      </w:r>
      <w:r w:rsidR="009458CC">
        <w:t xml:space="preserve">is </w:t>
      </w:r>
      <w:r w:rsidR="00123604">
        <w:t>reflected in</w:t>
      </w:r>
      <w:r w:rsidR="00026C00">
        <w:t xml:space="preserve"> higher ticket prices</w:t>
      </w:r>
      <w:r w:rsidR="000636A5">
        <w:t xml:space="preserve"> and not increased capacity</w:t>
      </w:r>
      <w:r w:rsidR="00994B11">
        <w:t xml:space="preserve">. The budget expects full </w:t>
      </w:r>
      <w:r w:rsidR="00B77A3E">
        <w:t xml:space="preserve">attendance </w:t>
      </w:r>
      <w:r w:rsidR="003C4761">
        <w:t xml:space="preserve">at 1,700 which is the sell-out level achieved </w:t>
      </w:r>
      <w:r w:rsidR="00026C00">
        <w:t xml:space="preserve">last year. </w:t>
      </w:r>
      <w:r w:rsidR="004C3BD4">
        <w:t xml:space="preserve">It is anticipated that </w:t>
      </w:r>
      <w:r w:rsidR="007C4AD5">
        <w:t xml:space="preserve">under the leadership of the Deputy President </w:t>
      </w:r>
      <w:r w:rsidR="006F50BD">
        <w:t xml:space="preserve">Finance and Services, </w:t>
      </w:r>
      <w:r w:rsidR="00592C2D">
        <w:t>coupled with</w:t>
      </w:r>
      <w:r w:rsidR="00204930">
        <w:t xml:space="preserve"> an </w:t>
      </w:r>
      <w:r w:rsidR="006F50BD">
        <w:t>increased offer</w:t>
      </w:r>
      <w:r w:rsidR="00204930">
        <w:t xml:space="preserve"> promising a better </w:t>
      </w:r>
      <w:r w:rsidR="00592C2D">
        <w:t>experience, there</w:t>
      </w:r>
      <w:r w:rsidR="006F50BD">
        <w:t xml:space="preserve"> will be </w:t>
      </w:r>
      <w:r w:rsidR="004C3BD4">
        <w:t>greater student participatio</w:t>
      </w:r>
      <w:r w:rsidR="006F50BD">
        <w:t>n</w:t>
      </w:r>
      <w:r w:rsidR="00754A60">
        <w:t xml:space="preserve">. </w:t>
      </w:r>
    </w:p>
    <w:p w:rsidR="00754A60" w:rsidP="00BF18CE" w:rsidRDefault="00754A60" w14:paraId="6A44FA11" w14:textId="5D538FC6">
      <w:pPr>
        <w:spacing w:after="0"/>
      </w:pPr>
    </w:p>
    <w:p w:rsidR="00125F3E" w:rsidP="00BF18CE" w:rsidRDefault="00177B7D" w14:paraId="45D6AC85" w14:textId="77777777">
      <w:pPr>
        <w:spacing w:after="0"/>
      </w:pPr>
      <w:r>
        <w:t xml:space="preserve">Marketing </w:t>
      </w:r>
      <w:r w:rsidR="003A6826">
        <w:t xml:space="preserve">(Sales and Sponsorship) </w:t>
      </w:r>
      <w:r>
        <w:t>has inc</w:t>
      </w:r>
      <w:r w:rsidR="00401073">
        <w:t>luded</w:t>
      </w:r>
      <w:r>
        <w:t xml:space="preserve"> a </w:t>
      </w:r>
      <w:r w:rsidR="00401073">
        <w:t xml:space="preserve">stretch target of </w:t>
      </w:r>
      <w:r w:rsidR="00A74173">
        <w:t xml:space="preserve">£20k for the </w:t>
      </w:r>
      <w:r w:rsidR="00057C8C">
        <w:t>final month</w:t>
      </w:r>
      <w:r w:rsidR="00A1385B">
        <w:t xml:space="preserve">. </w:t>
      </w:r>
      <w:r w:rsidR="00DA5E14">
        <w:t>They are looking to expl</w:t>
      </w:r>
      <w:r w:rsidR="0064419E">
        <w:t xml:space="preserve">oit new areas of activity </w:t>
      </w:r>
      <w:r w:rsidR="00125F3E">
        <w:t>at this traditionally quieter time of year.</w:t>
      </w:r>
    </w:p>
    <w:p w:rsidR="00125F3E" w:rsidP="00BF18CE" w:rsidRDefault="00125F3E" w14:paraId="7CD81CD0" w14:textId="77777777">
      <w:pPr>
        <w:spacing w:after="0"/>
      </w:pPr>
    </w:p>
    <w:p w:rsidR="009F32E7" w:rsidP="00BF18CE" w:rsidRDefault="00D931A1" w14:paraId="704927E9" w14:textId="5DD04DB7">
      <w:pPr>
        <w:spacing w:after="0"/>
      </w:pPr>
      <w:r>
        <w:t xml:space="preserve">Recruitment and retention </w:t>
      </w:r>
      <w:proofErr w:type="gramStart"/>
      <w:r w:rsidR="000B24A7">
        <w:t>continues</w:t>
      </w:r>
      <w:proofErr w:type="gramEnd"/>
      <w:r>
        <w:t xml:space="preserve"> to be a challenge for the Union </w:t>
      </w:r>
      <w:r w:rsidR="000B24A7">
        <w:t>as frontline services of Studen</w:t>
      </w:r>
      <w:r w:rsidR="00E56C07">
        <w:t xml:space="preserve">t Experience and Student Voice </w:t>
      </w:r>
      <w:r w:rsidR="00CB1E98">
        <w:t>has staff vacancies. Also, there are a</w:t>
      </w:r>
      <w:r w:rsidR="00350649">
        <w:t xml:space="preserve">lso </w:t>
      </w:r>
      <w:proofErr w:type="gramStart"/>
      <w:r w:rsidR="00350649">
        <w:t xml:space="preserve">a </w:t>
      </w:r>
      <w:r w:rsidR="009F2514">
        <w:t>number of</w:t>
      </w:r>
      <w:proofErr w:type="gramEnd"/>
      <w:r w:rsidR="009F2514">
        <w:t xml:space="preserve"> vacancies in commercial teams including Head Chef and Events and Conferences Manager.</w:t>
      </w:r>
      <w:r w:rsidR="00350649">
        <w:t xml:space="preserve">  </w:t>
      </w:r>
      <w:r w:rsidR="002112AC">
        <w:t xml:space="preserve">The arrival of a new Systems Manager (3 February) will help ease the </w:t>
      </w:r>
      <w:r w:rsidR="00D56D70">
        <w:t>pressures in the Systems Team and bring mu</w:t>
      </w:r>
      <w:r w:rsidR="00CE7F80">
        <w:t xml:space="preserve">ch </w:t>
      </w:r>
      <w:r w:rsidR="00D56D70">
        <w:t xml:space="preserve">needed resource to help with the </w:t>
      </w:r>
      <w:r w:rsidR="009F32E7">
        <w:t>management</w:t>
      </w:r>
      <w:r w:rsidR="00D56D70">
        <w:t xml:space="preserve"> of key systems </w:t>
      </w:r>
      <w:r w:rsidR="009F32E7">
        <w:t xml:space="preserve">(EPOS) </w:t>
      </w:r>
      <w:r w:rsidR="00D56D70">
        <w:t xml:space="preserve">and </w:t>
      </w:r>
      <w:r w:rsidR="00CE7F80">
        <w:t xml:space="preserve">facilitate </w:t>
      </w:r>
      <w:r w:rsidR="00D56D70">
        <w:t xml:space="preserve">further </w:t>
      </w:r>
      <w:r w:rsidR="009F32E7">
        <w:t>development (e-commence solutions).</w:t>
      </w:r>
    </w:p>
    <w:p w:rsidR="009F32E7" w:rsidP="00BF18CE" w:rsidRDefault="009F32E7" w14:paraId="590DFFB9" w14:textId="77777777">
      <w:pPr>
        <w:spacing w:after="0"/>
      </w:pPr>
    </w:p>
    <w:p w:rsidR="00754A60" w:rsidP="00BF18CE" w:rsidRDefault="00FB07D7" w14:paraId="69BF9204" w14:textId="322C568F">
      <w:pPr>
        <w:spacing w:after="0"/>
      </w:pPr>
      <w:r>
        <w:t xml:space="preserve">The new </w:t>
      </w:r>
      <w:r w:rsidR="00872746">
        <w:t xml:space="preserve">H Bar food service is untested and </w:t>
      </w:r>
      <w:r>
        <w:t xml:space="preserve">will </w:t>
      </w:r>
      <w:r w:rsidR="00872746">
        <w:t xml:space="preserve">commence on a limited </w:t>
      </w:r>
      <w:r>
        <w:t>offer</w:t>
      </w:r>
      <w:r w:rsidR="00BD1FFB">
        <w:t xml:space="preserve"> basis. A full year gross profit contribution of £69k was anticipated</w:t>
      </w:r>
      <w:r w:rsidR="006F6E9D">
        <w:t xml:space="preserve">. It is now expected that this will be in the region of </w:t>
      </w:r>
      <w:r w:rsidR="004E1DEF">
        <w:t xml:space="preserve">£4k. </w:t>
      </w:r>
    </w:p>
    <w:p w:rsidR="00F16B6D" w:rsidP="00BF18CE" w:rsidRDefault="00F16B6D" w14:paraId="06EFFF96" w14:textId="402CCEA5">
      <w:pPr>
        <w:spacing w:after="0"/>
      </w:pPr>
    </w:p>
    <w:p w:rsidR="00F16B6D" w:rsidP="00BF18CE" w:rsidRDefault="00F16B6D" w14:paraId="12006FC7" w14:textId="35CCE4FC">
      <w:pPr>
        <w:spacing w:after="0"/>
      </w:pPr>
    </w:p>
    <w:p w:rsidRPr="00EA4D19" w:rsidR="00F16B6D" w:rsidP="00BF18CE" w:rsidRDefault="00F16B6D" w14:paraId="10795A29" w14:textId="5496CA9F">
      <w:pPr>
        <w:spacing w:after="0"/>
        <w:rPr>
          <w:b/>
        </w:rPr>
      </w:pPr>
      <w:r w:rsidRPr="00EA4D19">
        <w:rPr>
          <w:b/>
        </w:rPr>
        <w:t>Opportunities</w:t>
      </w:r>
    </w:p>
    <w:p w:rsidR="00BC14E2" w:rsidP="00BF18CE" w:rsidRDefault="000112CA" w14:paraId="37E8203C" w14:textId="5D882A1C">
      <w:pPr>
        <w:spacing w:after="0"/>
      </w:pPr>
      <w:r>
        <w:t>Stud</w:t>
      </w:r>
      <w:r w:rsidR="00DC2CE7">
        <w:t xml:space="preserve">ent Activities </w:t>
      </w:r>
      <w:r>
        <w:t>are taking the opportunity to invest £1</w:t>
      </w:r>
      <w:r w:rsidR="00432FEA">
        <w:t xml:space="preserve">1k to improve </w:t>
      </w:r>
      <w:r w:rsidR="0039551A">
        <w:t>several</w:t>
      </w:r>
      <w:r w:rsidR="00432FEA">
        <w:t xml:space="preserve"> </w:t>
      </w:r>
      <w:r w:rsidR="00B71301">
        <w:t>student services</w:t>
      </w:r>
      <w:r w:rsidR="00DC2CE7">
        <w:t xml:space="preserve">, </w:t>
      </w:r>
      <w:r w:rsidR="00B71301">
        <w:t xml:space="preserve">particularly room booking. </w:t>
      </w:r>
      <w:r w:rsidR="0049611B">
        <w:t>The forecast is predicting a positive saving of £</w:t>
      </w:r>
      <w:r w:rsidR="000854D9">
        <w:t>19k</w:t>
      </w:r>
      <w:r w:rsidR="008E6188">
        <w:t xml:space="preserve"> overall </w:t>
      </w:r>
      <w:r w:rsidR="00C702E0">
        <w:lastRenderedPageBreak/>
        <w:t>no</w:t>
      </w:r>
      <w:r w:rsidR="00332D04">
        <w:t>t</w:t>
      </w:r>
      <w:r w:rsidR="00C702E0">
        <w:t>withstanding</w:t>
      </w:r>
      <w:r w:rsidR="008E6188">
        <w:t xml:space="preserve"> the </w:t>
      </w:r>
      <w:r w:rsidR="00C702E0">
        <w:t>invest</w:t>
      </w:r>
      <w:r w:rsidR="00332D04">
        <w:t>ment</w:t>
      </w:r>
      <w:r w:rsidR="00B832AA">
        <w:t xml:space="preserve">. </w:t>
      </w:r>
      <w:r w:rsidR="000324CC">
        <w:t xml:space="preserve">It is anticipated, the improvements in the room booking process will </w:t>
      </w:r>
      <w:r w:rsidR="004A3D19">
        <w:t>have a significant positive impact</w:t>
      </w:r>
      <w:r w:rsidR="00997899">
        <w:t xml:space="preserve">. </w:t>
      </w:r>
    </w:p>
    <w:p w:rsidR="001A6D99" w:rsidP="00BF18CE" w:rsidRDefault="001A6D99" w14:paraId="4BC44AB7" w14:textId="77777777">
      <w:pPr>
        <w:spacing w:after="0"/>
      </w:pPr>
    </w:p>
    <w:p w:rsidR="00997899" w:rsidP="00BF18CE" w:rsidRDefault="00997899" w14:paraId="7BB86818" w14:textId="5D362FE9">
      <w:pPr>
        <w:spacing w:after="0"/>
      </w:pPr>
      <w:r>
        <w:t xml:space="preserve">An investment provision of £4k has been set aside </w:t>
      </w:r>
      <w:r w:rsidR="007A2FBF">
        <w:t>to en</w:t>
      </w:r>
      <w:r w:rsidR="008309BD">
        <w:t xml:space="preserve">gage James Medler in February and March to document key processes </w:t>
      </w:r>
      <w:r w:rsidR="00D30081">
        <w:t xml:space="preserve">and provide a clear basis for </w:t>
      </w:r>
      <w:r w:rsidR="005323F9">
        <w:t xml:space="preserve">further </w:t>
      </w:r>
      <w:r w:rsidR="001A6D99">
        <w:t>longer-term</w:t>
      </w:r>
      <w:r w:rsidR="005323F9">
        <w:t xml:space="preserve"> </w:t>
      </w:r>
      <w:r w:rsidR="00D30081">
        <w:t xml:space="preserve">process improvement. </w:t>
      </w:r>
    </w:p>
    <w:p w:rsidR="00222914" w:rsidP="00BF18CE" w:rsidRDefault="00222914" w14:paraId="40DE09EE" w14:textId="5CA0F64B">
      <w:pPr>
        <w:spacing w:after="0"/>
      </w:pPr>
    </w:p>
    <w:p w:rsidR="00222914" w:rsidP="00BF18CE" w:rsidRDefault="00222914" w14:paraId="3F75D5BA" w14:textId="57405E92">
      <w:pPr>
        <w:spacing w:after="0"/>
      </w:pPr>
      <w:r>
        <w:t xml:space="preserve">The Retail </w:t>
      </w:r>
      <w:proofErr w:type="spellStart"/>
      <w:r>
        <w:t>ShopExtra</w:t>
      </w:r>
      <w:proofErr w:type="spellEnd"/>
      <w:r>
        <w:t xml:space="preserve"> </w:t>
      </w:r>
      <w:r w:rsidR="00265299">
        <w:t xml:space="preserve">continues to </w:t>
      </w:r>
      <w:r w:rsidR="00264AB6">
        <w:t>outperform</w:t>
      </w:r>
      <w:r w:rsidR="00265299">
        <w:t xml:space="preserve"> </w:t>
      </w:r>
      <w:r w:rsidR="0036105B">
        <w:t xml:space="preserve">budget expectation with a </w:t>
      </w:r>
      <w:r w:rsidR="00264AB6">
        <w:t>£48k (9%) growth in income</w:t>
      </w:r>
      <w:r w:rsidR="00B92AC1">
        <w:t>, £21k (11%) growth in gross profit.</w:t>
      </w:r>
      <w:r w:rsidR="00D55E3E">
        <w:t xml:space="preserve"> </w:t>
      </w:r>
      <w:r w:rsidR="00CD297C">
        <w:t>The new lines including “food to go” and coffee sales</w:t>
      </w:r>
      <w:r w:rsidR="000828BC">
        <w:t xml:space="preserve"> have</w:t>
      </w:r>
      <w:r w:rsidR="00CD297C">
        <w:t xml:space="preserve"> both been successful. </w:t>
      </w:r>
      <w:r w:rsidR="0005501D">
        <w:t xml:space="preserve">The main shop on the other hand has experienced a downturn in </w:t>
      </w:r>
      <w:proofErr w:type="gramStart"/>
      <w:r w:rsidR="00EB0265">
        <w:t xml:space="preserve">several </w:t>
      </w:r>
      <w:r w:rsidR="0005501D">
        <w:t xml:space="preserve"> of</w:t>
      </w:r>
      <w:proofErr w:type="gramEnd"/>
      <w:r w:rsidR="0005501D">
        <w:t xml:space="preserve"> its quality clothing lines as a new tariff was introduced</w:t>
      </w:r>
      <w:r w:rsidR="00EF6A71">
        <w:t xml:space="preserve"> but did not have at the desired impact</w:t>
      </w:r>
      <w:r w:rsidR="0005501D">
        <w:t xml:space="preserve">. </w:t>
      </w:r>
    </w:p>
    <w:p w:rsidR="0005501D" w:rsidP="00BF18CE" w:rsidRDefault="0005501D" w14:paraId="224B0993" w14:textId="33BB13E3">
      <w:pPr>
        <w:spacing w:after="0"/>
      </w:pPr>
    </w:p>
    <w:p w:rsidR="0005501D" w:rsidP="00BF18CE" w:rsidRDefault="00D800C5" w14:paraId="2AF6A9E2" w14:textId="50F3C68B">
      <w:pPr>
        <w:spacing w:after="0"/>
      </w:pPr>
      <w:r>
        <w:t xml:space="preserve">There is the opportunity to review the way capital investments are funded. </w:t>
      </w:r>
      <w:r w:rsidR="00C26C6F">
        <w:t>At present the</w:t>
      </w:r>
      <w:r w:rsidR="00EF5FAD">
        <w:t xml:space="preserve"> current financial </w:t>
      </w:r>
      <w:r w:rsidR="009C146F">
        <w:t>structure allows for capital investment of approx. £300k</w:t>
      </w:r>
      <w:r w:rsidR="000969B3">
        <w:t xml:space="preserve"> p.a. </w:t>
      </w:r>
      <w:r w:rsidR="00C26C6F">
        <w:t xml:space="preserve"> This is captured in the</w:t>
      </w:r>
      <w:r w:rsidR="002F2AE6">
        <w:t xml:space="preserve"> appendix 1 – impact on reserves. </w:t>
      </w:r>
      <w:r w:rsidR="00C26C6F">
        <w:t xml:space="preserve"> </w:t>
      </w:r>
      <w:r w:rsidR="00C40F07">
        <w:t xml:space="preserve">It is expected that at least 3 mini buses </w:t>
      </w:r>
      <w:r w:rsidR="005B6D6F">
        <w:t xml:space="preserve">can be purchased at an </w:t>
      </w:r>
      <w:r w:rsidR="004C5A40">
        <w:t>approx. cost</w:t>
      </w:r>
      <w:r w:rsidR="00E66B1A">
        <w:t xml:space="preserve"> of £100k</w:t>
      </w:r>
      <w:r w:rsidR="005B6D6F">
        <w:t xml:space="preserve"> leaving </w:t>
      </w:r>
      <w:r w:rsidR="00E66B1A">
        <w:t>£200k</w:t>
      </w:r>
      <w:r w:rsidR="006021F5">
        <w:t xml:space="preserve"> for </w:t>
      </w:r>
      <w:r w:rsidR="001B2F13">
        <w:t>commercial investment</w:t>
      </w:r>
      <w:r w:rsidR="00B42DF6">
        <w:t xml:space="preserve"> or investment in projects with a positive </w:t>
      </w:r>
      <w:r w:rsidR="00534290">
        <w:t xml:space="preserve">net present value. </w:t>
      </w:r>
      <w:r w:rsidR="00B42DF6">
        <w:t xml:space="preserve"> </w:t>
      </w:r>
      <w:r w:rsidR="001B2F13">
        <w:t xml:space="preserve"> </w:t>
      </w:r>
      <w:r w:rsidR="003A1B13">
        <w:t xml:space="preserve">There is an </w:t>
      </w:r>
      <w:r w:rsidR="00B42DF6">
        <w:t>opportunity</w:t>
      </w:r>
      <w:r w:rsidR="003A1B13">
        <w:t xml:space="preserve"> to consider where </w:t>
      </w:r>
      <w:r w:rsidR="00C5221C">
        <w:t>this resource could be best placed</w:t>
      </w:r>
      <w:r w:rsidR="0076534C">
        <w:t xml:space="preserve"> to get a </w:t>
      </w:r>
      <w:r w:rsidR="0070600A">
        <w:t>good return on investment.</w:t>
      </w:r>
      <w:r w:rsidR="00C5221C">
        <w:t xml:space="preserve"> </w:t>
      </w:r>
      <w:r w:rsidR="00CA1206">
        <w:t xml:space="preserve">Further work is needed to develop </w:t>
      </w:r>
      <w:r w:rsidR="00DF33A6">
        <w:t xml:space="preserve">capital </w:t>
      </w:r>
      <w:r w:rsidR="004C5A40">
        <w:t xml:space="preserve">investment </w:t>
      </w:r>
      <w:r w:rsidR="00DF33A6">
        <w:t>options.</w:t>
      </w:r>
      <w:r w:rsidR="004C5A40">
        <w:t xml:space="preserve"> </w:t>
      </w:r>
      <w:r w:rsidR="00DF33A6">
        <w:t xml:space="preserve"> </w:t>
      </w:r>
      <w:r w:rsidR="005B5093">
        <w:t>Investment in front line student services</w:t>
      </w:r>
      <w:r w:rsidR="00ED2232">
        <w:t xml:space="preserve"> / resources should be funded directly by College, e.g. replacement equipment for West Base</w:t>
      </w:r>
      <w:r w:rsidR="00D33D07">
        <w:t xml:space="preserve">ment media and audio services, flooring </w:t>
      </w:r>
      <w:r w:rsidR="00C3068C">
        <w:t>and building refurbishment, etc.</w:t>
      </w:r>
      <w:r w:rsidR="00CD3ABF">
        <w:t>.</w:t>
      </w:r>
    </w:p>
    <w:p w:rsidR="00F16B6D" w:rsidP="00BF18CE" w:rsidRDefault="00F16B6D" w14:paraId="266D3831" w14:textId="471164DA">
      <w:pPr>
        <w:spacing w:after="0"/>
      </w:pPr>
    </w:p>
    <w:p w:rsidRPr="009A5227" w:rsidR="00F16B6D" w:rsidP="00BF18CE" w:rsidRDefault="00F16B6D" w14:paraId="0156C9C1" w14:textId="5353581D">
      <w:pPr>
        <w:spacing w:after="0"/>
        <w:rPr>
          <w:b/>
        </w:rPr>
      </w:pPr>
      <w:r w:rsidRPr="009A5227">
        <w:rPr>
          <w:b/>
        </w:rPr>
        <w:t xml:space="preserve">Health and Safety </w:t>
      </w:r>
      <w:r w:rsidRPr="009A5227" w:rsidR="009A5227">
        <w:rPr>
          <w:b/>
        </w:rPr>
        <w:t>Resource</w:t>
      </w:r>
    </w:p>
    <w:p w:rsidR="002D0CA7" w:rsidP="00BF18CE" w:rsidRDefault="009A5227" w14:paraId="7B7AA76B" w14:textId="77777777">
      <w:pPr>
        <w:spacing w:after="0"/>
      </w:pPr>
      <w:r>
        <w:t xml:space="preserve">The forecast includes </w:t>
      </w:r>
      <w:r w:rsidR="0036178C">
        <w:t>a</w:t>
      </w:r>
      <w:r w:rsidR="008A47B9">
        <w:t xml:space="preserve">n investment </w:t>
      </w:r>
      <w:r w:rsidR="0036178C">
        <w:t xml:space="preserve">of £45k </w:t>
      </w:r>
      <w:r w:rsidR="008A47B9">
        <w:t>in health and safety</w:t>
      </w:r>
      <w:r w:rsidR="0036178C">
        <w:t xml:space="preserve">. £13k has been set aside </w:t>
      </w:r>
      <w:r w:rsidR="008154E8">
        <w:t>for Big City</w:t>
      </w:r>
      <w:r w:rsidR="00FD4C98">
        <w:t xml:space="preserve"> Consultants who have been instrumental in supporting </w:t>
      </w:r>
      <w:r w:rsidR="00895150">
        <w:t>commercial services team enhance the safety management systems</w:t>
      </w:r>
      <w:r w:rsidR="007649C3">
        <w:t xml:space="preserve"> and provide essential training to kitchen staff. </w:t>
      </w:r>
      <w:r w:rsidR="00922982">
        <w:t xml:space="preserve">5 days per month has been allocated </w:t>
      </w:r>
      <w:r w:rsidR="00B959E8">
        <w:t xml:space="preserve">to support the Student Activities team </w:t>
      </w:r>
      <w:r w:rsidR="00315D02">
        <w:t xml:space="preserve">review and evaluate </w:t>
      </w:r>
      <w:r w:rsidR="00033F8B">
        <w:t xml:space="preserve">their approach to safety </w:t>
      </w:r>
      <w:r w:rsidR="002D0CA7">
        <w:t xml:space="preserve">management. </w:t>
      </w:r>
    </w:p>
    <w:p w:rsidR="002D0CA7" w:rsidP="00BF18CE" w:rsidRDefault="002D0CA7" w14:paraId="5AA74FF6" w14:textId="77777777">
      <w:pPr>
        <w:spacing w:after="0"/>
      </w:pPr>
    </w:p>
    <w:p w:rsidR="009C18DA" w:rsidP="00BF18CE" w:rsidRDefault="002D0CA7" w14:paraId="1AF403EC" w14:textId="1222151E">
      <w:pPr>
        <w:spacing w:after="0"/>
      </w:pPr>
      <w:r>
        <w:t xml:space="preserve">The forecast also anticipates the recruitment of permanent resources </w:t>
      </w:r>
      <w:r w:rsidR="009C18DA">
        <w:t xml:space="preserve">to address the ongoing essential work that is needed in this area. </w:t>
      </w:r>
    </w:p>
    <w:p w:rsidR="006F365F" w:rsidP="00BF18CE" w:rsidRDefault="006F365F" w14:paraId="4090CA75" w14:textId="77777777">
      <w:pPr>
        <w:spacing w:after="0"/>
      </w:pPr>
    </w:p>
    <w:p w:rsidR="00F16B6D" w:rsidP="00BF18CE" w:rsidRDefault="00F16B6D" w14:paraId="46D1E74F" w14:textId="58CA9425">
      <w:pPr>
        <w:spacing w:after="0"/>
      </w:pPr>
    </w:p>
    <w:p w:rsidRPr="009C18DA" w:rsidR="00363D06" w:rsidP="00BF18CE" w:rsidRDefault="00363D06" w14:paraId="6EA239D6" w14:textId="1AF6AE5F">
      <w:pPr>
        <w:spacing w:after="0"/>
        <w:rPr>
          <w:b/>
        </w:rPr>
      </w:pPr>
      <w:r w:rsidRPr="009C18DA">
        <w:rPr>
          <w:b/>
        </w:rPr>
        <w:t xml:space="preserve">Impact on Reserves </w:t>
      </w:r>
    </w:p>
    <w:p w:rsidR="00363D06" w:rsidP="00BF18CE" w:rsidRDefault="001647C4" w14:paraId="048C3E0B" w14:textId="02A07EF3">
      <w:pPr>
        <w:spacing w:after="0"/>
      </w:pPr>
      <w:r>
        <w:t xml:space="preserve">The original </w:t>
      </w:r>
      <w:r w:rsidR="00E9005B">
        <w:t xml:space="preserve">July-2019 </w:t>
      </w:r>
      <w:r>
        <w:t xml:space="preserve">budget presentation </w:t>
      </w:r>
      <w:r w:rsidR="00E9005B">
        <w:t>an</w:t>
      </w:r>
      <w:r w:rsidR="005728D7">
        <w:t xml:space="preserve">ticipated: </w:t>
      </w:r>
    </w:p>
    <w:p w:rsidR="00E82B5C" w:rsidP="00BF18CE" w:rsidRDefault="00E82B5C" w14:paraId="21623E8E" w14:textId="77777777">
      <w:pPr>
        <w:spacing w:after="0"/>
      </w:pPr>
    </w:p>
    <w:p w:rsidR="005728D7" w:rsidP="00BF18CE" w:rsidRDefault="005728D7" w14:paraId="714E165F" w14:textId="5BBD3BC3">
      <w:pPr>
        <w:spacing w:after="0"/>
      </w:pP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81E46" w:rsidTr="005E1B7A" w14:paraId="4B065F5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E81E46" w:rsidP="00BF18CE" w:rsidRDefault="00E81E46" w14:paraId="044E2569" w14:textId="77777777"/>
        </w:tc>
        <w:tc>
          <w:tcPr>
            <w:tcW w:w="3005" w:type="dxa"/>
          </w:tcPr>
          <w:p w:rsidR="00E81E46" w:rsidP="00BF18CE" w:rsidRDefault="00903CCC" w14:paraId="5DD7B9F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Original Framework</w:t>
            </w:r>
          </w:p>
          <w:p w:rsidR="00261D0D" w:rsidP="00BF18CE" w:rsidRDefault="00261D0D" w14:paraId="44FDDED2" w14:textId="2B9606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July 2019</w:t>
            </w:r>
          </w:p>
        </w:tc>
        <w:tc>
          <w:tcPr>
            <w:tcW w:w="3006" w:type="dxa"/>
          </w:tcPr>
          <w:p w:rsidR="00E81E46" w:rsidP="00BF18CE" w:rsidRDefault="00903CCC" w14:paraId="08FD48A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Forecast </w:t>
            </w:r>
          </w:p>
          <w:p w:rsidR="00261D0D" w:rsidP="00BF18CE" w:rsidRDefault="00261D0D" w14:paraId="5A5A0889" w14:textId="723F56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2020</w:t>
            </w:r>
          </w:p>
        </w:tc>
      </w:tr>
      <w:tr w:rsidR="00E81E46" w:rsidTr="005E1B7A" w14:paraId="0BC824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E81E46" w:rsidP="00BF18CE" w:rsidRDefault="003B2DA2" w14:paraId="08153D42" w14:textId="77777777">
            <w:pPr>
              <w:rPr>
                <w:b w:val="0"/>
                <w:bCs w:val="0"/>
              </w:rPr>
            </w:pPr>
            <w:r>
              <w:t>Out</w:t>
            </w:r>
            <w:r w:rsidR="005E1B7A">
              <w:t>turn</w:t>
            </w:r>
          </w:p>
          <w:p w:rsidR="005E1B7A" w:rsidP="00BF18CE" w:rsidRDefault="005E1B7A" w14:paraId="4E8451D7" w14:textId="18A18919"/>
        </w:tc>
        <w:tc>
          <w:tcPr>
            <w:tcW w:w="3005" w:type="dxa"/>
          </w:tcPr>
          <w:p w:rsidR="00E81E46" w:rsidP="00BF18CE" w:rsidRDefault="003B2DA2" w14:paraId="454478A7" w14:textId="00FB1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Investment of £198k</w:t>
            </w:r>
          </w:p>
        </w:tc>
        <w:tc>
          <w:tcPr>
            <w:tcW w:w="3006" w:type="dxa"/>
          </w:tcPr>
          <w:p w:rsidR="00E81E46" w:rsidP="00BF18CE" w:rsidRDefault="002C6A42" w14:paraId="6ED56672" w14:textId="121BF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£(484k) </w:t>
            </w:r>
          </w:p>
        </w:tc>
      </w:tr>
      <w:tr w:rsidR="00E81E46" w:rsidTr="005E1B7A" w14:paraId="02DF511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E81E46" w:rsidP="00BF18CE" w:rsidRDefault="002C6A42" w14:paraId="65B0D516" w14:textId="77777777">
            <w:r>
              <w:t>Projected Reserves</w:t>
            </w:r>
          </w:p>
          <w:p w:rsidR="001D3B9B" w:rsidP="00BF18CE" w:rsidRDefault="001D3B9B" w14:paraId="0E7DB0F4" w14:textId="77777777">
            <w:pPr>
              <w:rPr>
                <w:b w:val="0"/>
                <w:bCs w:val="0"/>
              </w:rPr>
            </w:pPr>
            <w:r>
              <w:t>31 July 2020</w:t>
            </w:r>
          </w:p>
          <w:p w:rsidR="00835C20" w:rsidP="00BF18CE" w:rsidRDefault="00835C20" w14:paraId="181C755F" w14:textId="7E5B4547"/>
        </w:tc>
        <w:tc>
          <w:tcPr>
            <w:tcW w:w="3005" w:type="dxa"/>
          </w:tcPr>
          <w:p w:rsidR="00E81E46" w:rsidP="00BF18CE" w:rsidRDefault="001D3B9B" w14:paraId="16CF8525" w14:textId="2EC30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£915k </w:t>
            </w:r>
          </w:p>
        </w:tc>
        <w:tc>
          <w:tcPr>
            <w:tcW w:w="3006" w:type="dxa"/>
          </w:tcPr>
          <w:p w:rsidR="00E81E46" w:rsidP="00BF18CE" w:rsidRDefault="001D3B9B" w14:paraId="3233A8CB" w14:textId="3A203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£621k </w:t>
            </w:r>
          </w:p>
        </w:tc>
      </w:tr>
      <w:tr w:rsidR="00E81E46" w:rsidTr="005E1B7A" w14:paraId="199402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E81E46" w:rsidP="00BF18CE" w:rsidRDefault="001D3B9B" w14:paraId="479175DD" w14:textId="77777777">
            <w:pPr>
              <w:rPr>
                <w:b w:val="0"/>
                <w:bCs w:val="0"/>
              </w:rPr>
            </w:pPr>
            <w:r>
              <w:t>Capital Expenditure</w:t>
            </w:r>
          </w:p>
          <w:p w:rsidR="00835C20" w:rsidP="00BF18CE" w:rsidRDefault="00835C20" w14:paraId="4C375F16" w14:textId="06FA335F"/>
        </w:tc>
        <w:tc>
          <w:tcPr>
            <w:tcW w:w="3005" w:type="dxa"/>
          </w:tcPr>
          <w:p w:rsidR="00E81E46" w:rsidP="00BF18CE" w:rsidRDefault="001D3B9B" w14:paraId="0347A684" w14:textId="108A0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="00B366C6">
              <w:t>39</w:t>
            </w:r>
            <w:r>
              <w:t xml:space="preserve">k </w:t>
            </w:r>
          </w:p>
        </w:tc>
        <w:tc>
          <w:tcPr>
            <w:tcW w:w="3006" w:type="dxa"/>
          </w:tcPr>
          <w:p w:rsidR="00E81E46" w:rsidP="00BF18CE" w:rsidRDefault="00B366C6" w14:paraId="6ECBC00F" w14:textId="51ED7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£55k</w:t>
            </w:r>
          </w:p>
        </w:tc>
      </w:tr>
      <w:tr w:rsidR="00E81E46" w:rsidTr="005E1B7A" w14:paraId="094BBAC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E81E46" w:rsidP="00BF18CE" w:rsidRDefault="00B366C6" w14:paraId="25E50478" w14:textId="77777777">
            <w:pPr>
              <w:rPr>
                <w:b w:val="0"/>
                <w:bCs w:val="0"/>
              </w:rPr>
            </w:pPr>
            <w:r>
              <w:t>Cash Investment</w:t>
            </w:r>
          </w:p>
          <w:p w:rsidR="00192665" w:rsidP="00BF18CE" w:rsidRDefault="00192665" w14:paraId="5E3C4CE9" w14:textId="0DB2F81C"/>
        </w:tc>
        <w:tc>
          <w:tcPr>
            <w:tcW w:w="3005" w:type="dxa"/>
          </w:tcPr>
          <w:p w:rsidR="00E81E46" w:rsidP="00BF18CE" w:rsidRDefault="00B366C6" w14:paraId="4A5F69B3" w14:textId="70329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£1.5m</w:t>
            </w:r>
          </w:p>
        </w:tc>
        <w:tc>
          <w:tcPr>
            <w:tcW w:w="3006" w:type="dxa"/>
          </w:tcPr>
          <w:p w:rsidR="00E81E46" w:rsidP="00BF18CE" w:rsidRDefault="00B366C6" w14:paraId="4966D6D0" w14:textId="5F0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£1.5m</w:t>
            </w:r>
          </w:p>
        </w:tc>
      </w:tr>
      <w:tr w:rsidR="00E81E46" w:rsidTr="005E1B7A" w14:paraId="00EC875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E81E46" w:rsidP="00BF18CE" w:rsidRDefault="00E81E46" w14:paraId="394986F7" w14:textId="77777777"/>
        </w:tc>
        <w:tc>
          <w:tcPr>
            <w:tcW w:w="3005" w:type="dxa"/>
          </w:tcPr>
          <w:p w:rsidR="00E81E46" w:rsidP="00BF18CE" w:rsidRDefault="00E81E46" w14:paraId="54CB725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:rsidR="00E81E46" w:rsidP="00BF18CE" w:rsidRDefault="00E81E46" w14:paraId="1BED7D4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63D06" w:rsidP="00BF18CE" w:rsidRDefault="00363D06" w14:paraId="6EF7F06B" w14:textId="24D47929">
      <w:pPr>
        <w:spacing w:after="0"/>
      </w:pPr>
    </w:p>
    <w:p w:rsidR="00363D06" w:rsidP="00BF18CE" w:rsidRDefault="002B406F" w14:paraId="7FD62AC4" w14:textId="34F63583">
      <w:pPr>
        <w:spacing w:after="0"/>
      </w:pPr>
      <w:r>
        <w:t xml:space="preserve">Appendix 1 </w:t>
      </w:r>
      <w:r w:rsidR="008B6A34">
        <w:t xml:space="preserve">shows a revised </w:t>
      </w:r>
      <w:r w:rsidR="005070CA">
        <w:t>10-year</w:t>
      </w:r>
      <w:r w:rsidR="008B6A34">
        <w:t xml:space="preserve"> projection. </w:t>
      </w:r>
      <w:r w:rsidR="005070CA">
        <w:t xml:space="preserve">More </w:t>
      </w:r>
      <w:r w:rsidR="00C71074">
        <w:t xml:space="preserve">detailed </w:t>
      </w:r>
      <w:r w:rsidR="005070CA">
        <w:t xml:space="preserve">work is needed to </w:t>
      </w:r>
      <w:r w:rsidR="00C71074">
        <w:t xml:space="preserve">revise the </w:t>
      </w:r>
      <w:r w:rsidR="00357492">
        <w:t>original</w:t>
      </w:r>
      <w:r w:rsidR="009E6770">
        <w:t xml:space="preserve">ly </w:t>
      </w:r>
      <w:r w:rsidR="00C71074">
        <w:t>assumptions</w:t>
      </w:r>
      <w:r w:rsidR="0076581D">
        <w:t xml:space="preserve"> especially </w:t>
      </w:r>
      <w:r w:rsidR="0077790B">
        <w:t xml:space="preserve">the </w:t>
      </w:r>
      <w:r w:rsidR="0064214A">
        <w:t>development of other income streams.</w:t>
      </w:r>
      <w:bookmarkStart w:name="_GoBack" w:id="0"/>
      <w:bookmarkEnd w:id="0"/>
    </w:p>
    <w:p w:rsidR="009E6770" w:rsidP="00BF18CE" w:rsidRDefault="009E6770" w14:paraId="45046B84" w14:textId="559D78C6">
      <w:pPr>
        <w:spacing w:after="0"/>
      </w:pPr>
    </w:p>
    <w:p w:rsidR="009E6770" w:rsidP="00BF18CE" w:rsidRDefault="009E6770" w14:paraId="152F2B42" w14:textId="77777777">
      <w:pPr>
        <w:spacing w:after="0"/>
      </w:pPr>
    </w:p>
    <w:p w:rsidRPr="00B86358" w:rsidR="00910FF3" w:rsidP="00BF18CE" w:rsidRDefault="00F16B6D" w14:paraId="29C7702C" w14:textId="6465EA33">
      <w:pPr>
        <w:spacing w:after="0"/>
        <w:rPr>
          <w:b/>
        </w:rPr>
      </w:pPr>
      <w:r w:rsidRPr="00B86358">
        <w:rPr>
          <w:b/>
        </w:rPr>
        <w:t>Next Steps</w:t>
      </w:r>
    </w:p>
    <w:p w:rsidR="00910FF3" w:rsidP="00BF18CE" w:rsidRDefault="00910FF3" w14:paraId="3EFAC71D" w14:textId="2E4444C6">
      <w:pPr>
        <w:spacing w:after="0"/>
      </w:pPr>
      <w:r>
        <w:t xml:space="preserve">Develop a medium-term </w:t>
      </w:r>
      <w:r w:rsidR="00CD5E00">
        <w:t xml:space="preserve">financial </w:t>
      </w:r>
      <w:r>
        <w:t xml:space="preserve">plan </w:t>
      </w:r>
      <w:r w:rsidR="00FF7F61">
        <w:t>to restore the stability of the Union’s finances</w:t>
      </w:r>
      <w:r w:rsidR="00B95D00">
        <w:t xml:space="preserve"> – March 2020 </w:t>
      </w:r>
    </w:p>
    <w:p w:rsidR="00B65683" w:rsidP="00BF18CE" w:rsidRDefault="00611CFD" w14:paraId="0C96AF60" w14:textId="473B09FB">
      <w:pPr>
        <w:spacing w:after="0"/>
      </w:pPr>
      <w:r>
        <w:t xml:space="preserve">Identify and implement the anticipated </w:t>
      </w:r>
      <w:r w:rsidR="00890AC9">
        <w:t>work efficiency in income processing</w:t>
      </w:r>
      <w:r w:rsidR="00084C9B">
        <w:t xml:space="preserve"> – July 2020</w:t>
      </w:r>
    </w:p>
    <w:p w:rsidR="00084C9B" w:rsidP="00BF18CE" w:rsidRDefault="00084C9B" w14:paraId="1C91F21D" w14:textId="77777777">
      <w:pPr>
        <w:spacing w:after="0"/>
      </w:pPr>
    </w:p>
    <w:p w:rsidR="00084C9B" w:rsidP="00BF18CE" w:rsidRDefault="00084C9B" w14:paraId="1912BCD3" w14:textId="77777777">
      <w:pPr>
        <w:spacing w:after="0"/>
      </w:pPr>
    </w:p>
    <w:p w:rsidR="002546AC" w:rsidP="00BF18CE" w:rsidRDefault="002546AC" w14:paraId="73D44712" w14:textId="31B761CB">
      <w:pPr>
        <w:spacing w:after="0"/>
      </w:pPr>
    </w:p>
    <w:p w:rsidR="002546AC" w:rsidP="00BF18CE" w:rsidRDefault="002546AC" w14:paraId="632F8415" w14:textId="30EB0394">
      <w:pPr>
        <w:spacing w:after="0"/>
      </w:pPr>
    </w:p>
    <w:p w:rsidR="002F731C" w:rsidRDefault="002F731C" w14:paraId="42F51876" w14:textId="545BB02C">
      <w:r>
        <w:br w:type="page"/>
      </w:r>
    </w:p>
    <w:p w:rsidR="002546AC" w:rsidP="00BF18CE" w:rsidRDefault="00C26C6F" w14:paraId="5C8268B7" w14:textId="0AB431C8">
      <w:pPr>
        <w:spacing w:after="0"/>
      </w:pPr>
      <w:r>
        <w:lastRenderedPageBreak/>
        <w:t xml:space="preserve">Appendix 1 - </w:t>
      </w:r>
      <w:r w:rsidR="002F731C">
        <w:t>Impact on Reserv</w:t>
      </w:r>
      <w:r w:rsidR="00C92895">
        <w:t xml:space="preserve">es </w:t>
      </w:r>
    </w:p>
    <w:p w:rsidR="00C92895" w:rsidP="00BF18CE" w:rsidRDefault="00C92895" w14:paraId="2D452EE5" w14:textId="5224DC89">
      <w:pPr>
        <w:spacing w:after="0"/>
      </w:pPr>
    </w:p>
    <w:p w:rsidR="00C92895" w:rsidP="00BF18CE" w:rsidRDefault="00303500" w14:paraId="6B2D4956" w14:textId="0C770AAA">
      <w:pPr>
        <w:spacing w:after="0"/>
      </w:pPr>
      <w:r>
        <w:t xml:space="preserve">Reserves Projections: </w:t>
      </w:r>
    </w:p>
    <w:p w:rsidR="00303500" w:rsidP="00BF18CE" w:rsidRDefault="00303500" w14:paraId="4DE0CFE8" w14:textId="4494E14E">
      <w:pPr>
        <w:spacing w:after="0"/>
      </w:pPr>
    </w:p>
    <w:tbl>
      <w:tblPr>
        <w:tblW w:w="8628" w:type="dxa"/>
        <w:tblLook w:val="04A0" w:firstRow="1" w:lastRow="0" w:firstColumn="1" w:lastColumn="0" w:noHBand="0" w:noVBand="1"/>
      </w:tblPr>
      <w:tblGrid>
        <w:gridCol w:w="970"/>
        <w:gridCol w:w="1716"/>
        <w:gridCol w:w="1616"/>
        <w:gridCol w:w="1368"/>
        <w:gridCol w:w="1336"/>
        <w:gridCol w:w="1736"/>
      </w:tblGrid>
      <w:tr w:rsidRPr="00303500" w:rsidR="00303500" w:rsidTr="326E8358" w14:paraId="7AA1316E" w14:textId="77777777">
        <w:trPr>
          <w:trHeight w:val="29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365D12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2B9E0A3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Opening Balance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C26C6F" w14:paraId="68FA82AC" w14:textId="2780C59A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Capital</w:t>
            </w:r>
            <w:r w:rsidRPr="00303500" w:rsidR="0030350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Purchase</w:t>
            </w: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6D73DE2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Depreciation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111E0D3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Surplus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48EE578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Closing Reserves</w:t>
            </w:r>
          </w:p>
        </w:tc>
      </w:tr>
      <w:tr w:rsidRPr="00303500" w:rsidR="00303500" w:rsidTr="326E8358" w14:paraId="5FAA83E5" w14:textId="77777777">
        <w:trPr>
          <w:trHeight w:val="29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14F2432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2D07AC5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£'000's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1A6BC97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£'000's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341CD31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£'000's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50DAF2A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£'000's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7A9C77B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£'000's</w:t>
            </w:r>
          </w:p>
        </w:tc>
      </w:tr>
      <w:tr w:rsidRPr="00303500" w:rsidR="00DC4EC3" w:rsidTr="326E8358" w14:paraId="1AF96B92" w14:textId="77777777">
        <w:trPr>
          <w:trHeight w:val="29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303500" w:rsidR="00DC4EC3" w:rsidP="00303500" w:rsidRDefault="00DC4EC3" w14:paraId="0C852C0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303500" w:rsidR="00DC4EC3" w:rsidP="00303500" w:rsidRDefault="00DC4EC3" w14:paraId="6BF7079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303500" w:rsidR="00DC4EC3" w:rsidP="00303500" w:rsidRDefault="00DC4EC3" w14:paraId="7EEC467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303500" w:rsidR="00DC4EC3" w:rsidP="00303500" w:rsidRDefault="00DC4EC3" w14:paraId="495975B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303500" w:rsidR="00DC4EC3" w:rsidP="00303500" w:rsidRDefault="00DC4EC3" w14:paraId="0806BA6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303500" w:rsidR="00DC4EC3" w:rsidP="00303500" w:rsidRDefault="00DC4EC3" w14:paraId="052942E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303500" w:rsidR="00303500" w:rsidTr="326E8358" w14:paraId="1F39AD13" w14:textId="77777777">
        <w:trPr>
          <w:trHeight w:val="29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2B92DA4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30350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2019/20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3BCDD4A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897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6264D1B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FF0000"/>
                <w:lang w:eastAsia="en-GB"/>
              </w:rPr>
              <w:t>(55)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50CEC77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264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27C682C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FF0000"/>
                <w:lang w:eastAsia="en-GB"/>
              </w:rPr>
              <w:t>(485)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0594241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621</w:t>
            </w:r>
          </w:p>
        </w:tc>
      </w:tr>
      <w:tr w:rsidRPr="00303500" w:rsidR="00303500" w:rsidTr="326E8358" w14:paraId="05F80911" w14:textId="77777777">
        <w:trPr>
          <w:trHeight w:val="29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02B16B2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30350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2020/21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6B6861F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621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326E8358" w:rsidP="326E8358" w:rsidRDefault="326E8358" w14:paraId="15C5459D" w14:textId="7008A1B5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FF0000"/>
                <w:lang w:eastAsia="en-GB"/>
              </w:rPr>
            </w:pPr>
          </w:p>
          <w:p w:rsidRPr="00303500" w:rsidR="00303500" w:rsidP="00303500" w:rsidRDefault="00303500" w14:paraId="1E829C9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FF0000"/>
                <w:lang w:eastAsia="en-GB"/>
              </w:rPr>
              <w:t>(329)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13BF3530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269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2968397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FF0000"/>
                <w:lang w:eastAsia="en-GB"/>
              </w:rPr>
              <w:t>(239)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1E7191E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323</w:t>
            </w:r>
          </w:p>
        </w:tc>
      </w:tr>
      <w:tr w:rsidRPr="00303500" w:rsidR="00303500" w:rsidTr="326E8358" w14:paraId="76241FE2" w14:textId="77777777">
        <w:trPr>
          <w:trHeight w:val="29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17808E1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30350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2021/22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39D7FC0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323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2DED1D3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FF0000"/>
                <w:lang w:eastAsia="en-GB"/>
              </w:rPr>
              <w:t>(304)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7C86C46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283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5929CC8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FF0000"/>
                <w:lang w:eastAsia="en-GB"/>
              </w:rPr>
              <w:t>(103)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339855E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198</w:t>
            </w:r>
          </w:p>
        </w:tc>
      </w:tr>
      <w:tr w:rsidRPr="00303500" w:rsidR="00303500" w:rsidTr="326E8358" w14:paraId="7C46FE4A" w14:textId="77777777">
        <w:trPr>
          <w:trHeight w:val="29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62E81E4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30350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2022/23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7DDF844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198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02E19D5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FF0000"/>
                <w:lang w:eastAsia="en-GB"/>
              </w:rPr>
              <w:t>(283)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245EB40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295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602E4A90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45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6AEF601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255</w:t>
            </w:r>
          </w:p>
        </w:tc>
      </w:tr>
      <w:tr w:rsidRPr="00303500" w:rsidR="00303500" w:rsidTr="326E8358" w14:paraId="39824AF3" w14:textId="77777777">
        <w:trPr>
          <w:trHeight w:val="29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4A96614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30350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2023/24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061EDF80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255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6970EAE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FF0000"/>
                <w:lang w:eastAsia="en-GB"/>
              </w:rPr>
              <w:t>(338)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2BF0324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297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38C5948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84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0EDFC48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297</w:t>
            </w:r>
          </w:p>
        </w:tc>
      </w:tr>
      <w:tr w:rsidRPr="00303500" w:rsidR="00303500" w:rsidTr="326E8358" w14:paraId="09AEB18D" w14:textId="77777777">
        <w:trPr>
          <w:trHeight w:val="29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56822E0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30350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2024/25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5B2DD0D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297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07B278D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FF0000"/>
                <w:lang w:eastAsia="en-GB"/>
              </w:rPr>
              <w:t>(370)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64D29FA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299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7F44AC4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124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0892FAD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350</w:t>
            </w:r>
          </w:p>
        </w:tc>
      </w:tr>
      <w:tr w:rsidRPr="00303500" w:rsidR="00303500" w:rsidTr="326E8358" w14:paraId="07D77D4C" w14:textId="77777777">
        <w:trPr>
          <w:trHeight w:val="29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0DDE29B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30350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2025/26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1EF333D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350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73196BB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FF0000"/>
                <w:lang w:eastAsia="en-GB"/>
              </w:rPr>
              <w:t>(235)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314641C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301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6F56DB6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239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722B729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655</w:t>
            </w:r>
          </w:p>
        </w:tc>
      </w:tr>
      <w:tr w:rsidRPr="00303500" w:rsidR="00303500" w:rsidTr="326E8358" w14:paraId="610F2304" w14:textId="77777777">
        <w:trPr>
          <w:trHeight w:val="29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70EE84E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30350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2026/27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096C956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655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25ABD54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FF0000"/>
                <w:lang w:eastAsia="en-GB"/>
              </w:rPr>
              <w:t>(893)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4C22B8B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303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6B16660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285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55560BC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350</w:t>
            </w:r>
          </w:p>
        </w:tc>
      </w:tr>
      <w:tr w:rsidRPr="00303500" w:rsidR="00303500" w:rsidTr="326E8358" w14:paraId="6A32E433" w14:textId="77777777">
        <w:trPr>
          <w:trHeight w:val="29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1CBF3A1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30350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2027/28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6F24D5A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350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732467B0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FF0000"/>
                <w:lang w:eastAsia="en-GB"/>
              </w:rPr>
              <w:t>(574)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56AAC1D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306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6FDB85D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333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53AB359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415</w:t>
            </w:r>
          </w:p>
        </w:tc>
      </w:tr>
      <w:tr w:rsidRPr="00303500" w:rsidR="00303500" w:rsidTr="326E8358" w14:paraId="1DFFD22A" w14:textId="77777777">
        <w:trPr>
          <w:trHeight w:val="29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3D6961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2028/29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0EC5B81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415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5233EEE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FF0000"/>
                <w:lang w:eastAsia="en-GB"/>
              </w:rPr>
              <w:t>(422)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2D619FC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308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153BC9E0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463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03500" w:rsidR="00303500" w:rsidP="00303500" w:rsidRDefault="00303500" w14:paraId="31BC406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03500">
              <w:rPr>
                <w:rFonts w:ascii="Calibri" w:hAnsi="Calibri" w:eastAsia="Times New Roman" w:cs="Calibri"/>
                <w:color w:val="000000"/>
                <w:lang w:eastAsia="en-GB"/>
              </w:rPr>
              <w:t>764</w:t>
            </w:r>
          </w:p>
        </w:tc>
      </w:tr>
    </w:tbl>
    <w:p w:rsidR="00303500" w:rsidP="00BF18CE" w:rsidRDefault="00303500" w14:paraId="1E944800" w14:textId="61CF9EDA">
      <w:pPr>
        <w:spacing w:after="0"/>
      </w:pPr>
    </w:p>
    <w:p w:rsidR="00D818C5" w:rsidP="00BF18CE" w:rsidRDefault="00D818C5" w14:paraId="750E0661" w14:textId="3617BABD">
      <w:pPr>
        <w:spacing w:after="0"/>
      </w:pPr>
    </w:p>
    <w:p w:rsidR="00D818C5" w:rsidP="00BF18CE" w:rsidRDefault="00D818C5" w14:paraId="4763B61B" w14:textId="574E14A8">
      <w:pPr>
        <w:spacing w:after="0"/>
      </w:pPr>
    </w:p>
    <w:p w:rsidR="00D818C5" w:rsidP="00BF18CE" w:rsidRDefault="00D818C5" w14:paraId="697B4B9E" w14:textId="62610B03">
      <w:pPr>
        <w:spacing w:after="0"/>
      </w:pPr>
    </w:p>
    <w:p w:rsidR="00CA22D8" w:rsidP="00BF18CE" w:rsidRDefault="00CA22D8" w14:paraId="3FF05A3E" w14:textId="02C2C270">
      <w:pPr>
        <w:spacing w:after="0"/>
      </w:pPr>
    </w:p>
    <w:p w:rsidR="00CA22D8" w:rsidP="00BF18CE" w:rsidRDefault="00CA22D8" w14:paraId="04A9E1DD" w14:textId="77777777">
      <w:pPr>
        <w:spacing w:after="0"/>
      </w:pPr>
    </w:p>
    <w:sectPr w:rsidR="00CA22D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46CD3"/>
    <w:multiLevelType w:val="hybridMultilevel"/>
    <w:tmpl w:val="5BE4AB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EB"/>
    <w:rsid w:val="000112CA"/>
    <w:rsid w:val="00012197"/>
    <w:rsid w:val="00026C00"/>
    <w:rsid w:val="000324CC"/>
    <w:rsid w:val="00033F8B"/>
    <w:rsid w:val="00040360"/>
    <w:rsid w:val="0005501D"/>
    <w:rsid w:val="00057C8C"/>
    <w:rsid w:val="000636A5"/>
    <w:rsid w:val="00064874"/>
    <w:rsid w:val="000802ED"/>
    <w:rsid w:val="000828BC"/>
    <w:rsid w:val="00084C9B"/>
    <w:rsid w:val="000854D9"/>
    <w:rsid w:val="000969B3"/>
    <w:rsid w:val="000B24A7"/>
    <w:rsid w:val="000C76DD"/>
    <w:rsid w:val="000E1908"/>
    <w:rsid w:val="000F227D"/>
    <w:rsid w:val="000F55FF"/>
    <w:rsid w:val="00100846"/>
    <w:rsid w:val="001013B3"/>
    <w:rsid w:val="00123604"/>
    <w:rsid w:val="001248B5"/>
    <w:rsid w:val="00125F3E"/>
    <w:rsid w:val="00126A14"/>
    <w:rsid w:val="00130F02"/>
    <w:rsid w:val="0013648D"/>
    <w:rsid w:val="001415C1"/>
    <w:rsid w:val="001632F7"/>
    <w:rsid w:val="001647C4"/>
    <w:rsid w:val="0016643B"/>
    <w:rsid w:val="00170737"/>
    <w:rsid w:val="00177B7D"/>
    <w:rsid w:val="00182C1E"/>
    <w:rsid w:val="00192665"/>
    <w:rsid w:val="00197131"/>
    <w:rsid w:val="001A24B8"/>
    <w:rsid w:val="001A4EBB"/>
    <w:rsid w:val="001A6D99"/>
    <w:rsid w:val="001B0605"/>
    <w:rsid w:val="001B2F13"/>
    <w:rsid w:val="001C7944"/>
    <w:rsid w:val="001D3B9B"/>
    <w:rsid w:val="001E32CC"/>
    <w:rsid w:val="001F5C8E"/>
    <w:rsid w:val="001F7182"/>
    <w:rsid w:val="00203728"/>
    <w:rsid w:val="00204930"/>
    <w:rsid w:val="00210CCE"/>
    <w:rsid w:val="002112AC"/>
    <w:rsid w:val="00222914"/>
    <w:rsid w:val="002546AC"/>
    <w:rsid w:val="00255267"/>
    <w:rsid w:val="0026125E"/>
    <w:rsid w:val="00261D0D"/>
    <w:rsid w:val="00264AB6"/>
    <w:rsid w:val="00265299"/>
    <w:rsid w:val="0026567D"/>
    <w:rsid w:val="002755F5"/>
    <w:rsid w:val="0029500A"/>
    <w:rsid w:val="002967A2"/>
    <w:rsid w:val="002A2A97"/>
    <w:rsid w:val="002B406F"/>
    <w:rsid w:val="002B5873"/>
    <w:rsid w:val="002C6A42"/>
    <w:rsid w:val="002D0CA7"/>
    <w:rsid w:val="002F2AE6"/>
    <w:rsid w:val="002F731C"/>
    <w:rsid w:val="002F7C43"/>
    <w:rsid w:val="00303500"/>
    <w:rsid w:val="00315D02"/>
    <w:rsid w:val="00321B3B"/>
    <w:rsid w:val="003327B8"/>
    <w:rsid w:val="00332D04"/>
    <w:rsid w:val="00336D23"/>
    <w:rsid w:val="00346E61"/>
    <w:rsid w:val="00350649"/>
    <w:rsid w:val="00357492"/>
    <w:rsid w:val="0036105B"/>
    <w:rsid w:val="0036178C"/>
    <w:rsid w:val="00363D06"/>
    <w:rsid w:val="00370E7A"/>
    <w:rsid w:val="003710D5"/>
    <w:rsid w:val="00374C0F"/>
    <w:rsid w:val="003778D3"/>
    <w:rsid w:val="0039551A"/>
    <w:rsid w:val="003A1B13"/>
    <w:rsid w:val="003A6826"/>
    <w:rsid w:val="003B2DA2"/>
    <w:rsid w:val="003C4761"/>
    <w:rsid w:val="003D6ED1"/>
    <w:rsid w:val="003D7EC8"/>
    <w:rsid w:val="003F7797"/>
    <w:rsid w:val="004001B2"/>
    <w:rsid w:val="00401073"/>
    <w:rsid w:val="00407614"/>
    <w:rsid w:val="00411D1C"/>
    <w:rsid w:val="00412BD6"/>
    <w:rsid w:val="00416E5A"/>
    <w:rsid w:val="00424F3C"/>
    <w:rsid w:val="00427F68"/>
    <w:rsid w:val="00431D0F"/>
    <w:rsid w:val="00432FEA"/>
    <w:rsid w:val="004712D5"/>
    <w:rsid w:val="0049611B"/>
    <w:rsid w:val="0049614F"/>
    <w:rsid w:val="0049636D"/>
    <w:rsid w:val="004A3D19"/>
    <w:rsid w:val="004B2023"/>
    <w:rsid w:val="004B2C5A"/>
    <w:rsid w:val="004B535A"/>
    <w:rsid w:val="004C3BD4"/>
    <w:rsid w:val="004C5A40"/>
    <w:rsid w:val="004D0267"/>
    <w:rsid w:val="004D2000"/>
    <w:rsid w:val="004E1DEF"/>
    <w:rsid w:val="004F1BAD"/>
    <w:rsid w:val="004F5C5E"/>
    <w:rsid w:val="00500BAA"/>
    <w:rsid w:val="005070CA"/>
    <w:rsid w:val="00507625"/>
    <w:rsid w:val="0051511E"/>
    <w:rsid w:val="005222B7"/>
    <w:rsid w:val="005323F9"/>
    <w:rsid w:val="00534290"/>
    <w:rsid w:val="00551A59"/>
    <w:rsid w:val="005529D8"/>
    <w:rsid w:val="005728D7"/>
    <w:rsid w:val="0058563E"/>
    <w:rsid w:val="0058594D"/>
    <w:rsid w:val="00592C2D"/>
    <w:rsid w:val="005A2C6A"/>
    <w:rsid w:val="005B5093"/>
    <w:rsid w:val="005B6D6F"/>
    <w:rsid w:val="005D27A4"/>
    <w:rsid w:val="005E1B7A"/>
    <w:rsid w:val="006021F5"/>
    <w:rsid w:val="00611CFD"/>
    <w:rsid w:val="00637400"/>
    <w:rsid w:val="0064214A"/>
    <w:rsid w:val="0064419E"/>
    <w:rsid w:val="00651B3F"/>
    <w:rsid w:val="00662184"/>
    <w:rsid w:val="006654E4"/>
    <w:rsid w:val="00683382"/>
    <w:rsid w:val="00693FBD"/>
    <w:rsid w:val="006A11B0"/>
    <w:rsid w:val="006A51E2"/>
    <w:rsid w:val="006B2F3B"/>
    <w:rsid w:val="006B5F1A"/>
    <w:rsid w:val="006C2592"/>
    <w:rsid w:val="006F0FDE"/>
    <w:rsid w:val="006F365F"/>
    <w:rsid w:val="006F50BD"/>
    <w:rsid w:val="006F6E9D"/>
    <w:rsid w:val="0070600A"/>
    <w:rsid w:val="00711708"/>
    <w:rsid w:val="007117C7"/>
    <w:rsid w:val="00715E22"/>
    <w:rsid w:val="00716EED"/>
    <w:rsid w:val="00724515"/>
    <w:rsid w:val="00745826"/>
    <w:rsid w:val="00754A60"/>
    <w:rsid w:val="007649C3"/>
    <w:rsid w:val="0076534C"/>
    <w:rsid w:val="0076581D"/>
    <w:rsid w:val="00770943"/>
    <w:rsid w:val="0077790B"/>
    <w:rsid w:val="007829D8"/>
    <w:rsid w:val="00796CBE"/>
    <w:rsid w:val="007A2FBF"/>
    <w:rsid w:val="007A568A"/>
    <w:rsid w:val="007A6612"/>
    <w:rsid w:val="007B2FE3"/>
    <w:rsid w:val="007C4AD5"/>
    <w:rsid w:val="007D22EC"/>
    <w:rsid w:val="00801A73"/>
    <w:rsid w:val="008154E8"/>
    <w:rsid w:val="00823CBC"/>
    <w:rsid w:val="00827612"/>
    <w:rsid w:val="008309BD"/>
    <w:rsid w:val="00835C20"/>
    <w:rsid w:val="00842D58"/>
    <w:rsid w:val="00844CD3"/>
    <w:rsid w:val="00855B2B"/>
    <w:rsid w:val="00867775"/>
    <w:rsid w:val="00872746"/>
    <w:rsid w:val="00877633"/>
    <w:rsid w:val="00890AC9"/>
    <w:rsid w:val="00895150"/>
    <w:rsid w:val="008966E8"/>
    <w:rsid w:val="008A47B9"/>
    <w:rsid w:val="008B0A84"/>
    <w:rsid w:val="008B52D2"/>
    <w:rsid w:val="008B6A34"/>
    <w:rsid w:val="008C07AF"/>
    <w:rsid w:val="008E3C4E"/>
    <w:rsid w:val="008E6188"/>
    <w:rsid w:val="008F33DD"/>
    <w:rsid w:val="00903CCC"/>
    <w:rsid w:val="00910FF3"/>
    <w:rsid w:val="00917EA0"/>
    <w:rsid w:val="00922982"/>
    <w:rsid w:val="00940B63"/>
    <w:rsid w:val="009458CC"/>
    <w:rsid w:val="00945988"/>
    <w:rsid w:val="0095232A"/>
    <w:rsid w:val="009565AE"/>
    <w:rsid w:val="00977597"/>
    <w:rsid w:val="00991070"/>
    <w:rsid w:val="00994B11"/>
    <w:rsid w:val="00997899"/>
    <w:rsid w:val="009A5227"/>
    <w:rsid w:val="009C146F"/>
    <w:rsid w:val="009C18DA"/>
    <w:rsid w:val="009C22D7"/>
    <w:rsid w:val="009C754D"/>
    <w:rsid w:val="009E6770"/>
    <w:rsid w:val="009F02E8"/>
    <w:rsid w:val="009F2514"/>
    <w:rsid w:val="009F32E7"/>
    <w:rsid w:val="00A01B96"/>
    <w:rsid w:val="00A1385B"/>
    <w:rsid w:val="00A474FC"/>
    <w:rsid w:val="00A74068"/>
    <w:rsid w:val="00A74173"/>
    <w:rsid w:val="00A8080C"/>
    <w:rsid w:val="00A82335"/>
    <w:rsid w:val="00A836E5"/>
    <w:rsid w:val="00A87741"/>
    <w:rsid w:val="00AD04B9"/>
    <w:rsid w:val="00AD283A"/>
    <w:rsid w:val="00AE3EA4"/>
    <w:rsid w:val="00B0118D"/>
    <w:rsid w:val="00B01441"/>
    <w:rsid w:val="00B3527E"/>
    <w:rsid w:val="00B366C6"/>
    <w:rsid w:val="00B408F2"/>
    <w:rsid w:val="00B416B7"/>
    <w:rsid w:val="00B42DF6"/>
    <w:rsid w:val="00B51C92"/>
    <w:rsid w:val="00B61109"/>
    <w:rsid w:val="00B65683"/>
    <w:rsid w:val="00B71301"/>
    <w:rsid w:val="00B73556"/>
    <w:rsid w:val="00B77A3E"/>
    <w:rsid w:val="00B832AA"/>
    <w:rsid w:val="00B86358"/>
    <w:rsid w:val="00B873EB"/>
    <w:rsid w:val="00B92AC1"/>
    <w:rsid w:val="00B959E8"/>
    <w:rsid w:val="00B95D00"/>
    <w:rsid w:val="00B95ED2"/>
    <w:rsid w:val="00B967A8"/>
    <w:rsid w:val="00BC089A"/>
    <w:rsid w:val="00BC14E2"/>
    <w:rsid w:val="00BD1D4E"/>
    <w:rsid w:val="00BD1FFB"/>
    <w:rsid w:val="00BD5D47"/>
    <w:rsid w:val="00BF18CE"/>
    <w:rsid w:val="00BF706E"/>
    <w:rsid w:val="00C01AD9"/>
    <w:rsid w:val="00C11766"/>
    <w:rsid w:val="00C12541"/>
    <w:rsid w:val="00C26C6F"/>
    <w:rsid w:val="00C3068C"/>
    <w:rsid w:val="00C40F07"/>
    <w:rsid w:val="00C42CD3"/>
    <w:rsid w:val="00C5000B"/>
    <w:rsid w:val="00C5221C"/>
    <w:rsid w:val="00C5438F"/>
    <w:rsid w:val="00C6191E"/>
    <w:rsid w:val="00C63EB7"/>
    <w:rsid w:val="00C702E0"/>
    <w:rsid w:val="00C71074"/>
    <w:rsid w:val="00C755C5"/>
    <w:rsid w:val="00C92895"/>
    <w:rsid w:val="00C96538"/>
    <w:rsid w:val="00CA1206"/>
    <w:rsid w:val="00CA22D8"/>
    <w:rsid w:val="00CB1E98"/>
    <w:rsid w:val="00CB5B0A"/>
    <w:rsid w:val="00CC3E9A"/>
    <w:rsid w:val="00CD297C"/>
    <w:rsid w:val="00CD3ABF"/>
    <w:rsid w:val="00CD5E00"/>
    <w:rsid w:val="00CE220C"/>
    <w:rsid w:val="00CE7F80"/>
    <w:rsid w:val="00D1746E"/>
    <w:rsid w:val="00D207E6"/>
    <w:rsid w:val="00D30081"/>
    <w:rsid w:val="00D33D07"/>
    <w:rsid w:val="00D42700"/>
    <w:rsid w:val="00D449F2"/>
    <w:rsid w:val="00D52ECF"/>
    <w:rsid w:val="00D55E3E"/>
    <w:rsid w:val="00D56D70"/>
    <w:rsid w:val="00D56F7C"/>
    <w:rsid w:val="00D800C5"/>
    <w:rsid w:val="00D818C5"/>
    <w:rsid w:val="00D930AF"/>
    <w:rsid w:val="00D931A1"/>
    <w:rsid w:val="00DA2101"/>
    <w:rsid w:val="00DA5E14"/>
    <w:rsid w:val="00DA6C2D"/>
    <w:rsid w:val="00DB45B9"/>
    <w:rsid w:val="00DC2CE7"/>
    <w:rsid w:val="00DC4EC3"/>
    <w:rsid w:val="00DC5BD0"/>
    <w:rsid w:val="00DD0337"/>
    <w:rsid w:val="00DD7F21"/>
    <w:rsid w:val="00DF33A6"/>
    <w:rsid w:val="00E07F3C"/>
    <w:rsid w:val="00E1132B"/>
    <w:rsid w:val="00E332A8"/>
    <w:rsid w:val="00E56C07"/>
    <w:rsid w:val="00E633D5"/>
    <w:rsid w:val="00E66B1A"/>
    <w:rsid w:val="00E81E46"/>
    <w:rsid w:val="00E82B5C"/>
    <w:rsid w:val="00E9005B"/>
    <w:rsid w:val="00EA2003"/>
    <w:rsid w:val="00EA4D19"/>
    <w:rsid w:val="00EA6C62"/>
    <w:rsid w:val="00EB0265"/>
    <w:rsid w:val="00EB5DB8"/>
    <w:rsid w:val="00EC1DAF"/>
    <w:rsid w:val="00ED2232"/>
    <w:rsid w:val="00ED4765"/>
    <w:rsid w:val="00EE1383"/>
    <w:rsid w:val="00EE2C23"/>
    <w:rsid w:val="00EE56A9"/>
    <w:rsid w:val="00EF5FAD"/>
    <w:rsid w:val="00EF6A71"/>
    <w:rsid w:val="00F0035B"/>
    <w:rsid w:val="00F16B6D"/>
    <w:rsid w:val="00F22C8C"/>
    <w:rsid w:val="00F25453"/>
    <w:rsid w:val="00F26C26"/>
    <w:rsid w:val="00F36F99"/>
    <w:rsid w:val="00F53CD0"/>
    <w:rsid w:val="00F63127"/>
    <w:rsid w:val="00FB07D7"/>
    <w:rsid w:val="00FD0C41"/>
    <w:rsid w:val="00FD4C98"/>
    <w:rsid w:val="00FD72EB"/>
    <w:rsid w:val="00FF7F61"/>
    <w:rsid w:val="326E8358"/>
    <w:rsid w:val="474E1DE8"/>
    <w:rsid w:val="6196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8C7A"/>
  <w15:chartTrackingRefBased/>
  <w15:docId w15:val="{A181F6A9-7B7B-4E8F-A7CE-EBDDCECCC9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B8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73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374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527E"/>
    <w:pPr>
      <w:ind w:left="720"/>
      <w:contextualSpacing/>
    </w:pPr>
  </w:style>
  <w:style w:type="table" w:styleId="GridTable5Dark-Accent5">
    <w:name w:val="Grid Table 5 Dark Accent 5"/>
    <w:basedOn w:val="TableNormal"/>
    <w:uiPriority w:val="50"/>
    <w:rsid w:val="005E1B7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27089BE2EC43B5C68DD5A31F1834" ma:contentTypeVersion="6" ma:contentTypeDescription="Create a new document." ma:contentTypeScope="" ma:versionID="4eda60f4426a8a694bfd73cbdee38fb3">
  <xsd:schema xmlns:xsd="http://www.w3.org/2001/XMLSchema" xmlns:xs="http://www.w3.org/2001/XMLSchema" xmlns:p="http://schemas.microsoft.com/office/2006/metadata/properties" xmlns:ns2="fc71e851-029c-4432-82bb-3ff89f62f0df" xmlns:ns3="5a3e2baa-b2d4-4c01-984d-67f701d048c9" targetNamespace="http://schemas.microsoft.com/office/2006/metadata/properties" ma:root="true" ma:fieldsID="2a08c637fa54398d43b27bf181fc282d" ns2:_="" ns3:_="">
    <xsd:import namespace="fc71e851-029c-4432-82bb-3ff89f62f0df"/>
    <xsd:import namespace="5a3e2baa-b2d4-4c01-984d-67f701d04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1e851-029c-4432-82bb-3ff89f62f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2baa-b2d4-4c01-984d-67f701d04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BF818-6AAF-46EF-A041-DAAB57E19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D4B9C-7A69-4FB5-911F-11A885162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94AF9-CB31-4BAC-BE28-3EAA001AAA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Imperial College London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 Ahmad, Jomana</dc:creator>
  <keywords/>
  <dc:description/>
  <lastModifiedBy>Gandhi, Neha</lastModifiedBy>
  <revision>363</revision>
  <dcterms:created xsi:type="dcterms:W3CDTF">2020-01-28T16:17:00.0000000Z</dcterms:created>
  <dcterms:modified xsi:type="dcterms:W3CDTF">2020-02-05T12:16:23.1742970Z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0x010100D95427089BE2EC43B5C68DD5A31F1834</vt:lpwstr>
  </property>
</Properties>
</file>