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F9" w:rsidRDefault="00A948F9" w:rsidP="00A948F9">
      <w:pPr>
        <w:jc w:val="center"/>
      </w:pPr>
      <w:r w:rsidRPr="00FE5124">
        <w:rPr>
          <w:rFonts w:ascii="Arial" w:hAnsi="Arial" w:cs="Arial"/>
          <w:noProof/>
          <w:lang w:eastAsia="en-GB"/>
        </w:rPr>
        <w:drawing>
          <wp:inline distT="0" distB="0" distL="0" distR="0" wp14:anchorId="6D1912E8" wp14:editId="75F74D82">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A948F9" w:rsidRDefault="00A948F9" w:rsidP="00A948F9">
      <w:pPr>
        <w:pStyle w:val="Default"/>
      </w:pPr>
    </w:p>
    <w:p w:rsidR="00A948F9" w:rsidRDefault="00A948F9" w:rsidP="00A948F9">
      <w:pPr>
        <w:jc w:val="center"/>
        <w:rPr>
          <w:b/>
          <w:bCs/>
          <w:sz w:val="28"/>
          <w:szCs w:val="28"/>
        </w:rPr>
      </w:pPr>
      <w:r>
        <w:t xml:space="preserve"> </w:t>
      </w:r>
      <w:r>
        <w:rPr>
          <w:b/>
          <w:bCs/>
          <w:sz w:val="28"/>
          <w:szCs w:val="28"/>
        </w:rPr>
        <w:t>Imperial College Union Finance and Risk Committee</w:t>
      </w:r>
    </w:p>
    <w:p w:rsidR="00A948F9" w:rsidRPr="00C14E06" w:rsidRDefault="00A948F9" w:rsidP="00A948F9">
      <w:pPr>
        <w:jc w:val="center"/>
        <w:rPr>
          <w:b/>
          <w:bCs/>
          <w:sz w:val="28"/>
          <w:szCs w:val="28"/>
        </w:rPr>
      </w:pPr>
      <w:r w:rsidRPr="00C14E06">
        <w:rPr>
          <w:b/>
          <w:bCs/>
          <w:sz w:val="28"/>
          <w:szCs w:val="28"/>
        </w:rPr>
        <w:t>1</w:t>
      </w:r>
      <w:r>
        <w:rPr>
          <w:b/>
          <w:bCs/>
          <w:sz w:val="28"/>
          <w:szCs w:val="28"/>
        </w:rPr>
        <w:t>6</w:t>
      </w:r>
      <w:r w:rsidRPr="00C14E06">
        <w:rPr>
          <w:b/>
          <w:bCs/>
          <w:sz w:val="28"/>
          <w:szCs w:val="28"/>
          <w:vertAlign w:val="superscript"/>
        </w:rPr>
        <w:t>th</w:t>
      </w:r>
      <w:r w:rsidRPr="00C14E06">
        <w:rPr>
          <w:b/>
          <w:bCs/>
          <w:sz w:val="28"/>
          <w:szCs w:val="28"/>
        </w:rPr>
        <w:t xml:space="preserve"> October 2018</w:t>
      </w:r>
    </w:p>
    <w:tbl>
      <w:tblPr>
        <w:tblStyle w:val="TableGrid"/>
        <w:tblW w:w="0" w:type="auto"/>
        <w:tblLook w:val="04A0" w:firstRow="1" w:lastRow="0" w:firstColumn="1" w:lastColumn="0" w:noHBand="0" w:noVBand="1"/>
      </w:tblPr>
      <w:tblGrid>
        <w:gridCol w:w="4448"/>
        <w:gridCol w:w="4448"/>
      </w:tblGrid>
      <w:tr w:rsidR="00A948F9" w:rsidTr="00A948F9">
        <w:trPr>
          <w:trHeight w:val="436"/>
        </w:trPr>
        <w:tc>
          <w:tcPr>
            <w:tcW w:w="4448" w:type="dxa"/>
          </w:tcPr>
          <w:p w:rsidR="00A948F9" w:rsidRPr="00B873EB" w:rsidRDefault="00A948F9" w:rsidP="00C633B1">
            <w:pPr>
              <w:rPr>
                <w:b/>
                <w:color w:val="FF0000"/>
                <w:sz w:val="28"/>
                <w:szCs w:val="28"/>
              </w:rPr>
            </w:pPr>
            <w:r w:rsidRPr="00B873EB">
              <w:rPr>
                <w:b/>
                <w:color w:val="000000" w:themeColor="text1"/>
                <w:sz w:val="28"/>
                <w:szCs w:val="28"/>
              </w:rPr>
              <w:t>AGENDA ITEM NO.</w:t>
            </w:r>
          </w:p>
        </w:tc>
        <w:tc>
          <w:tcPr>
            <w:tcW w:w="4448" w:type="dxa"/>
          </w:tcPr>
          <w:p w:rsidR="00A948F9" w:rsidRPr="009A4880" w:rsidRDefault="001A57C5" w:rsidP="00C633B1">
            <w:pPr>
              <w:jc w:val="both"/>
              <w:rPr>
                <w:rFonts w:asciiTheme="majorHAnsi" w:hAnsiTheme="majorHAnsi"/>
              </w:rPr>
            </w:pPr>
            <w:r>
              <w:rPr>
                <w:rFonts w:asciiTheme="majorHAnsi" w:hAnsiTheme="majorHAnsi"/>
              </w:rPr>
              <w:t>9</w:t>
            </w:r>
          </w:p>
        </w:tc>
      </w:tr>
      <w:tr w:rsidR="00A948F9" w:rsidTr="00A948F9">
        <w:trPr>
          <w:trHeight w:val="414"/>
        </w:trPr>
        <w:tc>
          <w:tcPr>
            <w:tcW w:w="4448" w:type="dxa"/>
          </w:tcPr>
          <w:p w:rsidR="00A948F9" w:rsidRPr="00B873EB" w:rsidRDefault="00A948F9" w:rsidP="00C633B1">
            <w:pPr>
              <w:rPr>
                <w:b/>
                <w:color w:val="000000" w:themeColor="text1"/>
                <w:sz w:val="28"/>
                <w:szCs w:val="28"/>
              </w:rPr>
            </w:pPr>
            <w:r w:rsidRPr="00B873EB">
              <w:rPr>
                <w:b/>
                <w:color w:val="000000" w:themeColor="text1"/>
                <w:sz w:val="28"/>
                <w:szCs w:val="28"/>
              </w:rPr>
              <w:t>TITLE</w:t>
            </w:r>
          </w:p>
        </w:tc>
        <w:tc>
          <w:tcPr>
            <w:tcW w:w="4448" w:type="dxa"/>
          </w:tcPr>
          <w:p w:rsidR="00A948F9" w:rsidRPr="009A4880" w:rsidRDefault="00A948F9" w:rsidP="00C633B1">
            <w:pPr>
              <w:jc w:val="both"/>
              <w:rPr>
                <w:rFonts w:asciiTheme="majorHAnsi" w:hAnsiTheme="majorHAnsi"/>
              </w:rPr>
            </w:pPr>
            <w:r w:rsidRPr="009A4880">
              <w:rPr>
                <w:rFonts w:asciiTheme="majorHAnsi" w:hAnsiTheme="majorHAnsi"/>
              </w:rPr>
              <w:t>CSP Finance</w:t>
            </w:r>
          </w:p>
        </w:tc>
      </w:tr>
      <w:tr w:rsidR="00A948F9" w:rsidTr="00A948F9">
        <w:trPr>
          <w:trHeight w:val="549"/>
        </w:trPr>
        <w:tc>
          <w:tcPr>
            <w:tcW w:w="4448" w:type="dxa"/>
          </w:tcPr>
          <w:p w:rsidR="00A948F9" w:rsidRPr="00B873EB" w:rsidRDefault="00A948F9" w:rsidP="00C633B1">
            <w:pPr>
              <w:rPr>
                <w:b/>
                <w:color w:val="000000" w:themeColor="text1"/>
                <w:sz w:val="28"/>
                <w:szCs w:val="28"/>
              </w:rPr>
            </w:pPr>
            <w:r w:rsidRPr="00B873EB">
              <w:rPr>
                <w:b/>
                <w:color w:val="000000" w:themeColor="text1"/>
                <w:sz w:val="28"/>
                <w:szCs w:val="28"/>
              </w:rPr>
              <w:t>AUTHOR</w:t>
            </w:r>
          </w:p>
        </w:tc>
        <w:tc>
          <w:tcPr>
            <w:tcW w:w="4448" w:type="dxa"/>
          </w:tcPr>
          <w:p w:rsidR="00A948F9" w:rsidRPr="009A4880" w:rsidRDefault="00A948F9" w:rsidP="00A948F9">
            <w:pPr>
              <w:jc w:val="both"/>
              <w:rPr>
                <w:rFonts w:asciiTheme="majorHAnsi" w:hAnsiTheme="majorHAnsi"/>
              </w:rPr>
            </w:pPr>
            <w:r w:rsidRPr="009A4880">
              <w:rPr>
                <w:rFonts w:asciiTheme="majorHAnsi" w:hAnsiTheme="majorHAnsi"/>
              </w:rPr>
              <w:t xml:space="preserve">Deputy President (Finance &amp; Services) – </w:t>
            </w:r>
            <w:r>
              <w:rPr>
                <w:rFonts w:asciiTheme="majorHAnsi" w:hAnsiTheme="majorHAnsi"/>
              </w:rPr>
              <w:t>Fifi Henry</w:t>
            </w:r>
          </w:p>
        </w:tc>
      </w:tr>
      <w:tr w:rsidR="00A948F9" w:rsidTr="00C633B1">
        <w:trPr>
          <w:trHeight w:val="943"/>
        </w:trPr>
        <w:tc>
          <w:tcPr>
            <w:tcW w:w="4448" w:type="dxa"/>
          </w:tcPr>
          <w:p w:rsidR="00A948F9" w:rsidRPr="00B873EB" w:rsidRDefault="00A948F9" w:rsidP="00C633B1">
            <w:pPr>
              <w:rPr>
                <w:b/>
                <w:color w:val="000000" w:themeColor="text1"/>
                <w:sz w:val="28"/>
                <w:szCs w:val="28"/>
              </w:rPr>
            </w:pPr>
            <w:r w:rsidRPr="00B873EB">
              <w:rPr>
                <w:b/>
                <w:color w:val="000000" w:themeColor="text1"/>
                <w:sz w:val="28"/>
                <w:szCs w:val="28"/>
              </w:rPr>
              <w:t>EXECUTIVE SUMMARY</w:t>
            </w:r>
          </w:p>
        </w:tc>
        <w:tc>
          <w:tcPr>
            <w:tcW w:w="4448" w:type="dxa"/>
          </w:tcPr>
          <w:p w:rsidR="00A948F9" w:rsidRPr="009A4880" w:rsidRDefault="00A948F9" w:rsidP="00C633B1">
            <w:pPr>
              <w:pStyle w:val="paragraph"/>
              <w:spacing w:before="0" w:beforeAutospacing="0"/>
              <w:jc w:val="both"/>
              <w:textAlignment w:val="baseline"/>
              <w:rPr>
                <w:rFonts w:asciiTheme="majorHAnsi" w:hAnsiTheme="majorHAnsi" w:cs="Segoe UI"/>
                <w:sz w:val="18"/>
                <w:szCs w:val="18"/>
              </w:rPr>
            </w:pPr>
            <w:r w:rsidRPr="00935FA0">
              <w:rPr>
                <w:rStyle w:val="normaltextrun"/>
                <w:rFonts w:asciiTheme="majorHAnsi" w:hAnsiTheme="majorHAnsi" w:cs="Arial"/>
                <w:sz w:val="22"/>
                <w:szCs w:val="22"/>
              </w:rPr>
              <w:t xml:space="preserve">There are 26 CSPs which are in debt. </w:t>
            </w:r>
            <w:r w:rsidR="00FD4EDD">
              <w:rPr>
                <w:rStyle w:val="normaltextrun"/>
                <w:rFonts w:asciiTheme="majorHAnsi" w:hAnsiTheme="majorHAnsi" w:cs="Arial"/>
                <w:sz w:val="22"/>
                <w:szCs w:val="22"/>
              </w:rPr>
              <w:t>9</w:t>
            </w:r>
            <w:r w:rsidRPr="00935FA0">
              <w:rPr>
                <w:rStyle w:val="normaltextrun"/>
                <w:rFonts w:asciiTheme="majorHAnsi" w:hAnsiTheme="majorHAnsi" w:cs="Arial"/>
                <w:sz w:val="22"/>
                <w:szCs w:val="22"/>
              </w:rPr>
              <w:t xml:space="preserve"> CSPs are in more than £500 of debt.</w:t>
            </w:r>
            <w:r w:rsidRPr="008520DF">
              <w:rPr>
                <w:rStyle w:val="normaltextrun"/>
                <w:rFonts w:asciiTheme="majorHAnsi" w:hAnsiTheme="majorHAnsi" w:cs="Arial"/>
                <w:sz w:val="22"/>
                <w:szCs w:val="22"/>
              </w:rPr>
              <w:t> </w:t>
            </w:r>
            <w:r w:rsidR="005536D0">
              <w:rPr>
                <w:rStyle w:val="normaltextrun"/>
                <w:rFonts w:asciiTheme="majorHAnsi" w:hAnsiTheme="majorHAnsi" w:cs="Arial"/>
                <w:sz w:val="22"/>
                <w:szCs w:val="22"/>
              </w:rPr>
              <w:t xml:space="preserve">Punjabi Society are on a 3-year debt management plan, with the expectation to clear 70% of debt by the end of 3 years and reassessing the plan at the end of each academic year. </w:t>
            </w:r>
            <w:r w:rsidRPr="009A4880">
              <w:rPr>
                <w:rStyle w:val="normaltextrun"/>
                <w:rFonts w:asciiTheme="majorHAnsi" w:hAnsiTheme="majorHAnsi" w:cs="Arial"/>
                <w:sz w:val="22"/>
                <w:szCs w:val="22"/>
              </w:rPr>
              <w:t xml:space="preserve">All clubs in debt are either short term or have </w:t>
            </w:r>
            <w:r w:rsidR="002B1C03">
              <w:rPr>
                <w:rStyle w:val="normaltextrun"/>
                <w:rFonts w:asciiTheme="majorHAnsi" w:hAnsiTheme="majorHAnsi" w:cs="Arial"/>
                <w:sz w:val="22"/>
                <w:szCs w:val="22"/>
              </w:rPr>
              <w:t>been called in to discuss</w:t>
            </w:r>
            <w:r w:rsidRPr="009A4880">
              <w:rPr>
                <w:rStyle w:val="normaltextrun"/>
                <w:rFonts w:asciiTheme="majorHAnsi" w:hAnsiTheme="majorHAnsi" w:cs="Arial"/>
                <w:sz w:val="22"/>
                <w:szCs w:val="22"/>
              </w:rPr>
              <w:t xml:space="preserve"> a plan to clear their debt</w:t>
            </w:r>
            <w:r w:rsidR="002B1C03">
              <w:rPr>
                <w:rStyle w:val="normaltextrun"/>
                <w:rFonts w:asciiTheme="majorHAnsi" w:hAnsiTheme="majorHAnsi" w:cs="Arial"/>
                <w:sz w:val="22"/>
                <w:szCs w:val="22"/>
              </w:rPr>
              <w:t>.</w:t>
            </w:r>
            <w:r>
              <w:rPr>
                <w:rStyle w:val="normaltextrun"/>
                <w:rFonts w:asciiTheme="majorHAnsi" w:hAnsiTheme="majorHAnsi" w:cs="Arial"/>
                <w:sz w:val="22"/>
                <w:szCs w:val="22"/>
              </w:rPr>
              <w:t xml:space="preserve"> </w:t>
            </w:r>
          </w:p>
        </w:tc>
        <w:bookmarkStart w:id="0" w:name="_GoBack"/>
        <w:bookmarkEnd w:id="0"/>
      </w:tr>
      <w:tr w:rsidR="00A948F9" w:rsidTr="00C633B1">
        <w:trPr>
          <w:trHeight w:val="902"/>
        </w:trPr>
        <w:tc>
          <w:tcPr>
            <w:tcW w:w="4448" w:type="dxa"/>
          </w:tcPr>
          <w:p w:rsidR="00A948F9" w:rsidRPr="00B873EB" w:rsidRDefault="00E80B36" w:rsidP="00C633B1">
            <w:pPr>
              <w:rPr>
                <w:b/>
                <w:color w:val="000000" w:themeColor="text1"/>
                <w:sz w:val="28"/>
                <w:szCs w:val="28"/>
              </w:rPr>
            </w:pPr>
            <w:r>
              <w:br w:type="page"/>
            </w:r>
            <w:r w:rsidR="00A948F9" w:rsidRPr="00B873EB">
              <w:rPr>
                <w:b/>
                <w:color w:val="000000" w:themeColor="text1"/>
                <w:sz w:val="28"/>
                <w:szCs w:val="28"/>
              </w:rPr>
              <w:t>PURPOSE</w:t>
            </w:r>
          </w:p>
        </w:tc>
        <w:tc>
          <w:tcPr>
            <w:tcW w:w="4448" w:type="dxa"/>
          </w:tcPr>
          <w:p w:rsidR="00A948F9" w:rsidRPr="009A4880" w:rsidRDefault="00A948F9" w:rsidP="00C633B1">
            <w:pPr>
              <w:jc w:val="both"/>
              <w:rPr>
                <w:rFonts w:asciiTheme="majorHAnsi" w:hAnsiTheme="majorHAnsi"/>
              </w:rPr>
            </w:pPr>
            <w:r w:rsidRPr="009A4880">
              <w:rPr>
                <w:rStyle w:val="normaltextrun"/>
                <w:rFonts w:asciiTheme="majorHAnsi" w:hAnsiTheme="majorHAnsi" w:cs="Arial"/>
                <w:color w:val="000000"/>
                <w:shd w:val="clear" w:color="auto" w:fill="FFFFFF"/>
              </w:rPr>
              <w:t>Members of F&amp;R are to consider the financial and reputational risks posed by these events and CSPs, with the aim to gain assurance that any risks posed have been well managed. </w:t>
            </w:r>
          </w:p>
        </w:tc>
      </w:tr>
      <w:tr w:rsidR="00A948F9" w:rsidTr="00C633B1">
        <w:trPr>
          <w:trHeight w:val="902"/>
        </w:trPr>
        <w:tc>
          <w:tcPr>
            <w:tcW w:w="4448" w:type="dxa"/>
          </w:tcPr>
          <w:p w:rsidR="00A948F9" w:rsidRPr="00B873EB" w:rsidRDefault="00A948F9" w:rsidP="00C633B1">
            <w:pPr>
              <w:rPr>
                <w:b/>
                <w:color w:val="000000" w:themeColor="text1"/>
                <w:sz w:val="28"/>
                <w:szCs w:val="28"/>
              </w:rPr>
            </w:pPr>
            <w:r w:rsidRPr="00B873EB">
              <w:rPr>
                <w:b/>
                <w:color w:val="000000" w:themeColor="text1"/>
                <w:sz w:val="28"/>
                <w:szCs w:val="28"/>
              </w:rPr>
              <w:t>DECISION/ACTION REQUIRED</w:t>
            </w:r>
          </w:p>
        </w:tc>
        <w:tc>
          <w:tcPr>
            <w:tcW w:w="4448" w:type="dxa"/>
          </w:tcPr>
          <w:p w:rsidR="00A948F9" w:rsidRPr="009A4880" w:rsidRDefault="00A948F9" w:rsidP="00C633B1">
            <w:pPr>
              <w:jc w:val="both"/>
              <w:rPr>
                <w:rFonts w:asciiTheme="majorHAnsi" w:hAnsiTheme="majorHAnsi"/>
              </w:rPr>
            </w:pPr>
            <w:r w:rsidRPr="009A4880">
              <w:rPr>
                <w:rStyle w:val="normaltextrun"/>
                <w:rFonts w:asciiTheme="majorHAnsi" w:hAnsiTheme="majorHAnsi" w:cs="Arial"/>
                <w:color w:val="000000"/>
                <w:shd w:val="clear" w:color="auto" w:fill="FFFFFF"/>
              </w:rPr>
              <w:t>This paper is for reporting purposes and no decisions are required on its content.</w:t>
            </w:r>
          </w:p>
        </w:tc>
      </w:tr>
    </w:tbl>
    <w:p w:rsidR="00A948F9" w:rsidRDefault="00A948F9" w:rsidP="00A948F9">
      <w:pPr>
        <w:jc w:val="center"/>
        <w:rPr>
          <w:color w:val="FF0000"/>
        </w:rPr>
      </w:pPr>
    </w:p>
    <w:p w:rsidR="00426B38" w:rsidRDefault="00426B38"/>
    <w:p w:rsidR="00426B38" w:rsidRDefault="00426B38">
      <w:r>
        <w:br w:type="page"/>
      </w:r>
    </w:p>
    <w:p w:rsidR="00426B38" w:rsidRPr="006E4820" w:rsidRDefault="00426B38">
      <w:pPr>
        <w:rPr>
          <w:b/>
          <w:sz w:val="28"/>
        </w:rPr>
      </w:pPr>
      <w:r w:rsidRPr="006E4820">
        <w:rPr>
          <w:b/>
          <w:sz w:val="28"/>
        </w:rPr>
        <w:lastRenderedPageBreak/>
        <w:t>CSPs Debt Report (1</w:t>
      </w:r>
      <w:r w:rsidRPr="006E4820">
        <w:rPr>
          <w:b/>
          <w:sz w:val="28"/>
          <w:vertAlign w:val="superscript"/>
        </w:rPr>
        <w:t>st</w:t>
      </w:r>
      <w:r w:rsidRPr="006E4820">
        <w:rPr>
          <w:b/>
          <w:sz w:val="28"/>
        </w:rPr>
        <w:t xml:space="preserve"> August </w:t>
      </w:r>
      <w:r w:rsidR="006E4820" w:rsidRPr="006E4820">
        <w:rPr>
          <w:b/>
          <w:sz w:val="28"/>
        </w:rPr>
        <w:t xml:space="preserve">2019 </w:t>
      </w:r>
      <w:r w:rsidRPr="006E4820">
        <w:rPr>
          <w:b/>
          <w:sz w:val="28"/>
        </w:rPr>
        <w:t>– 1</w:t>
      </w:r>
      <w:r w:rsidR="001D6BDD" w:rsidRPr="006E4820">
        <w:rPr>
          <w:b/>
          <w:sz w:val="28"/>
        </w:rPr>
        <w:t>5</w:t>
      </w:r>
      <w:r w:rsidRPr="006E4820">
        <w:rPr>
          <w:b/>
          <w:sz w:val="28"/>
          <w:vertAlign w:val="superscript"/>
        </w:rPr>
        <w:t>th</w:t>
      </w:r>
      <w:r w:rsidRPr="006E4820">
        <w:rPr>
          <w:b/>
          <w:sz w:val="28"/>
        </w:rPr>
        <w:t xml:space="preserve"> October</w:t>
      </w:r>
      <w:r w:rsidR="006E4820" w:rsidRPr="006E4820">
        <w:rPr>
          <w:b/>
          <w:sz w:val="28"/>
        </w:rPr>
        <w:t xml:space="preserve"> 2019</w:t>
      </w:r>
      <w:r w:rsidRPr="006E4820">
        <w:rPr>
          <w:b/>
          <w:sz w:val="28"/>
        </w:rPr>
        <w:t>): Highest to lowest</w:t>
      </w:r>
    </w:p>
    <w:tbl>
      <w:tblPr>
        <w:tblW w:w="997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20"/>
        <w:gridCol w:w="1439"/>
        <w:gridCol w:w="1193"/>
        <w:gridCol w:w="1185"/>
        <w:gridCol w:w="995"/>
        <w:gridCol w:w="885"/>
        <w:gridCol w:w="1188"/>
        <w:gridCol w:w="1600"/>
      </w:tblGrid>
      <w:tr w:rsidR="00FD4EDD" w:rsidRPr="00EC0C79" w:rsidTr="00FD4EDD">
        <w:trPr>
          <w:trHeight w:val="311"/>
        </w:trPr>
        <w:tc>
          <w:tcPr>
            <w:tcW w:w="2420"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Group Name</w:t>
            </w:r>
          </w:p>
        </w:tc>
        <w:tc>
          <w:tcPr>
            <w:tcW w:w="508"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EC0C79">
              <w:rPr>
                <w:rFonts w:ascii="Calibri" w:eastAsia="Times New Roman" w:hAnsi="Calibri" w:cs="Times New Roman"/>
                <w:b/>
                <w:bCs/>
                <w:lang w:eastAsia="en-GB"/>
              </w:rPr>
              <w:t>Grant (membership %)</w:t>
            </w:r>
          </w:p>
        </w:tc>
        <w:tc>
          <w:tcPr>
            <w:tcW w:w="1193"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SGI</w:t>
            </w:r>
          </w:p>
        </w:tc>
        <w:tc>
          <w:tcPr>
            <w:tcW w:w="1185"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Harlington</w:t>
            </w:r>
          </w:p>
        </w:tc>
        <w:tc>
          <w:tcPr>
            <w:tcW w:w="995"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IC Trust</w:t>
            </w:r>
          </w:p>
        </w:tc>
        <w:tc>
          <w:tcPr>
            <w:tcW w:w="885"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College</w:t>
            </w:r>
          </w:p>
        </w:tc>
        <w:tc>
          <w:tcPr>
            <w:tcW w:w="1188"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Total</w:t>
            </w:r>
          </w:p>
        </w:tc>
        <w:tc>
          <w:tcPr>
            <w:tcW w:w="1600" w:type="dxa"/>
            <w:shd w:val="clear" w:color="auto" w:fill="FFFFFF" w:themeFill="background1"/>
            <w:noWrap/>
            <w:vAlign w:val="bottom"/>
            <w:hideMark/>
          </w:tcPr>
          <w:p w:rsidR="00FD4EDD" w:rsidRPr="00426B38" w:rsidRDefault="00FD4EDD" w:rsidP="00C633B1">
            <w:pPr>
              <w:spacing w:after="0" w:line="240" w:lineRule="auto"/>
              <w:jc w:val="center"/>
              <w:rPr>
                <w:rFonts w:ascii="Calibri" w:eastAsia="Times New Roman" w:hAnsi="Calibri" w:cs="Times New Roman"/>
                <w:b/>
                <w:bCs/>
                <w:lang w:eastAsia="en-GB"/>
              </w:rPr>
            </w:pPr>
            <w:r w:rsidRPr="00426B38">
              <w:rPr>
                <w:rFonts w:ascii="Calibri" w:eastAsia="Times New Roman" w:hAnsi="Calibri" w:cs="Times New Roman"/>
                <w:b/>
                <w:bCs/>
                <w:lang w:eastAsia="en-GB"/>
              </w:rPr>
              <w:t>Debt Plan Needed?</w:t>
            </w:r>
          </w:p>
        </w:tc>
      </w:tr>
      <w:tr w:rsidR="00FD4EDD" w:rsidRPr="00EC0C79" w:rsidTr="00FD4EDD">
        <w:trPr>
          <w:trHeight w:val="311"/>
        </w:trPr>
        <w:tc>
          <w:tcPr>
            <w:tcW w:w="2420" w:type="dxa"/>
            <w:shd w:val="clear" w:color="auto" w:fill="FFFFFF" w:themeFill="background1"/>
            <w:noWrap/>
            <w:vAlign w:val="bottom"/>
          </w:tcPr>
          <w:p w:rsidR="00FD4EDD" w:rsidRPr="00BE7E07" w:rsidRDefault="00FD4EDD" w:rsidP="00FD4EDD">
            <w:pPr>
              <w:spacing w:after="0" w:line="240" w:lineRule="auto"/>
              <w:jc w:val="center"/>
              <w:rPr>
                <w:rFonts w:ascii="Arial" w:eastAsia="Times New Roman" w:hAnsi="Arial" w:cs="Arial"/>
                <w:color w:val="44546A" w:themeColor="text2"/>
                <w:sz w:val="20"/>
                <w:szCs w:val="20"/>
                <w:vertAlign w:val="superscript"/>
                <w:lang w:eastAsia="en-GB"/>
              </w:rPr>
            </w:pPr>
            <w:r w:rsidRPr="00FD4EDD">
              <w:rPr>
                <w:rFonts w:ascii="Arial" w:eastAsia="Times New Roman" w:hAnsi="Arial" w:cs="Arial"/>
                <w:color w:val="44546A" w:themeColor="text2"/>
                <w:sz w:val="20"/>
                <w:szCs w:val="20"/>
                <w:lang w:eastAsia="en-GB"/>
              </w:rPr>
              <w:t>CTA Punjabi</w:t>
            </w:r>
          </w:p>
        </w:tc>
        <w:tc>
          <w:tcPr>
            <w:tcW w:w="508" w:type="dxa"/>
            <w:shd w:val="clear" w:color="auto" w:fill="FFFFFF" w:themeFill="background1"/>
            <w:vAlign w:val="center"/>
          </w:tcPr>
          <w:p w:rsidR="00FD4EDD" w:rsidRPr="00EC0C79" w:rsidRDefault="00FD4EDD" w:rsidP="0097140E">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97140E">
            <w:pPr>
              <w:jc w:val="right"/>
              <w:rPr>
                <w:rFonts w:ascii="Arial" w:hAnsi="Arial" w:cs="Arial"/>
                <w:color w:val="FF5D5D"/>
                <w:sz w:val="20"/>
                <w:szCs w:val="20"/>
              </w:rPr>
            </w:pPr>
            <w:r w:rsidRPr="00FD4EDD">
              <w:rPr>
                <w:rFonts w:ascii="Arial" w:hAnsi="Arial" w:cs="Arial"/>
                <w:color w:val="FF5D5D"/>
                <w:sz w:val="20"/>
                <w:szCs w:val="20"/>
              </w:rPr>
              <w:t>-38,040.45</w:t>
            </w:r>
          </w:p>
        </w:tc>
        <w:tc>
          <w:tcPr>
            <w:tcW w:w="1185" w:type="dxa"/>
            <w:shd w:val="clear" w:color="auto" w:fill="FFFFFF" w:themeFill="background1"/>
            <w:vAlign w:val="center"/>
          </w:tcPr>
          <w:p w:rsidR="00FD4EDD" w:rsidRPr="00EC0C79" w:rsidRDefault="00FD4EDD" w:rsidP="0097140E">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97140E">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97140E">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97140E">
            <w:pPr>
              <w:jc w:val="right"/>
              <w:rPr>
                <w:rFonts w:ascii="Arial" w:hAnsi="Arial" w:cs="Arial"/>
                <w:color w:val="FF5D5D"/>
                <w:sz w:val="20"/>
                <w:szCs w:val="20"/>
              </w:rPr>
            </w:pPr>
            <w:r w:rsidRPr="00FD4EDD">
              <w:rPr>
                <w:rFonts w:ascii="Arial" w:hAnsi="Arial" w:cs="Arial"/>
                <w:color w:val="FF5D5D"/>
                <w:sz w:val="20"/>
                <w:szCs w:val="20"/>
              </w:rPr>
              <w:t>-38,040.45</w:t>
            </w:r>
          </w:p>
        </w:tc>
        <w:tc>
          <w:tcPr>
            <w:tcW w:w="1600" w:type="dxa"/>
            <w:shd w:val="clear" w:color="auto" w:fill="FFFFFF" w:themeFill="background1"/>
            <w:noWrap/>
            <w:vAlign w:val="bottom"/>
          </w:tcPr>
          <w:p w:rsidR="00FD4EDD" w:rsidRPr="00BE7E07" w:rsidRDefault="00FD4EDD" w:rsidP="0097140E">
            <w:pPr>
              <w:spacing w:after="0" w:line="240" w:lineRule="auto"/>
              <w:jc w:val="center"/>
              <w:rPr>
                <w:rFonts w:ascii="Arial" w:eastAsia="Times New Roman" w:hAnsi="Arial" w:cs="Arial"/>
                <w:sz w:val="16"/>
                <w:szCs w:val="20"/>
                <w:vertAlign w:val="superscript"/>
                <w:lang w:eastAsia="en-GB"/>
              </w:rPr>
            </w:pPr>
            <w:r w:rsidRPr="00EC0C79">
              <w:rPr>
                <w:rFonts w:ascii="Arial" w:eastAsia="Times New Roman" w:hAnsi="Arial" w:cs="Arial"/>
                <w:sz w:val="16"/>
                <w:szCs w:val="20"/>
                <w:lang w:eastAsia="en-GB"/>
              </w:rPr>
              <w:t>Yes</w:t>
            </w:r>
            <w:r>
              <w:rPr>
                <w:rFonts w:ascii="Arial" w:eastAsia="Times New Roman" w:hAnsi="Arial" w:cs="Arial"/>
                <w:sz w:val="16"/>
                <w:szCs w:val="20"/>
                <w:lang w:eastAsia="en-GB"/>
              </w:rPr>
              <w:t xml:space="preserve"> </w:t>
            </w:r>
            <w:r w:rsidR="00BE7E07">
              <w:rPr>
                <w:rFonts w:ascii="Arial" w:eastAsia="Times New Roman" w:hAnsi="Arial" w:cs="Arial"/>
                <w:sz w:val="16"/>
                <w:szCs w:val="20"/>
                <w:lang w:eastAsia="en-GB"/>
              </w:rPr>
              <w:t>–</w:t>
            </w:r>
            <w:r>
              <w:rPr>
                <w:rFonts w:ascii="Arial" w:eastAsia="Times New Roman" w:hAnsi="Arial" w:cs="Arial"/>
                <w:sz w:val="16"/>
                <w:szCs w:val="20"/>
                <w:lang w:eastAsia="en-GB"/>
              </w:rPr>
              <w:t xml:space="preserve"> </w:t>
            </w:r>
            <w:r w:rsidR="001A57C5">
              <w:rPr>
                <w:rFonts w:ascii="Arial" w:eastAsia="Times New Roman" w:hAnsi="Arial" w:cs="Arial"/>
                <w:sz w:val="16"/>
                <w:szCs w:val="20"/>
                <w:lang w:eastAsia="en-GB"/>
              </w:rPr>
              <w:t>created</w:t>
            </w:r>
            <w:r w:rsidR="001A57C5">
              <w:rPr>
                <w:rFonts w:ascii="Arial" w:eastAsia="Times New Roman" w:hAnsi="Arial" w:cs="Arial"/>
                <w:sz w:val="16"/>
                <w:szCs w:val="20"/>
                <w:vertAlign w:val="superscript"/>
                <w:lang w:eastAsia="en-GB"/>
              </w:rPr>
              <w:t xml:space="preserve"> [</w:t>
            </w:r>
            <w:r w:rsidR="00BE7E07">
              <w:rPr>
                <w:rFonts w:ascii="Arial" w:eastAsia="Times New Roman" w:hAnsi="Arial" w:cs="Arial"/>
                <w:sz w:val="16"/>
                <w:szCs w:val="20"/>
                <w:vertAlign w:val="superscript"/>
                <w:lang w:eastAsia="en-GB"/>
              </w:rPr>
              <w:t>1]</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ICSMSU Exec</w:t>
            </w:r>
          </w:p>
        </w:tc>
        <w:tc>
          <w:tcPr>
            <w:tcW w:w="508" w:type="dxa"/>
            <w:shd w:val="clear" w:color="auto" w:fill="FFFFFF" w:themeFill="background1"/>
            <w:vAlign w:val="center"/>
          </w:tcPr>
          <w:p w:rsidR="00FD4EDD" w:rsidRPr="00EC0C79" w:rsidRDefault="00FD4EDD" w:rsidP="001D6BDD">
            <w:pPr>
              <w:jc w:val="right"/>
              <w:rPr>
                <w:rFonts w:ascii="Arial" w:hAnsi="Arial" w:cs="Arial"/>
                <w:sz w:val="20"/>
                <w:szCs w:val="20"/>
              </w:rPr>
            </w:pPr>
            <w:r w:rsidRPr="00FD4EDD">
              <w:rPr>
                <w:rFonts w:ascii="Arial" w:hAnsi="Arial" w:cs="Arial"/>
                <w:color w:val="70AD47" w:themeColor="accent6"/>
                <w:sz w:val="20"/>
                <w:szCs w:val="20"/>
              </w:rPr>
              <w:t>2,402.55</w:t>
            </w:r>
          </w:p>
        </w:tc>
        <w:tc>
          <w:tcPr>
            <w:tcW w:w="1193" w:type="dxa"/>
            <w:shd w:val="clear" w:color="auto" w:fill="FFFFFF" w:themeFill="background1"/>
            <w:vAlign w:val="center"/>
          </w:tcPr>
          <w:p w:rsidR="00FD4EDD" w:rsidRPr="00FD4EDD" w:rsidRDefault="00FD4EDD" w:rsidP="001D6BDD">
            <w:pPr>
              <w:jc w:val="right"/>
              <w:rPr>
                <w:rFonts w:ascii="Arial" w:hAnsi="Arial" w:cs="Arial"/>
                <w:color w:val="FF5D5D"/>
                <w:sz w:val="20"/>
                <w:szCs w:val="20"/>
              </w:rPr>
            </w:pPr>
            <w:r w:rsidRPr="00FD4EDD">
              <w:rPr>
                <w:rFonts w:ascii="Arial" w:hAnsi="Arial" w:cs="Arial"/>
                <w:color w:val="FF5D5D"/>
                <w:sz w:val="20"/>
                <w:szCs w:val="20"/>
              </w:rPr>
              <w:t>-10,264.32</w:t>
            </w:r>
          </w:p>
        </w:tc>
        <w:tc>
          <w:tcPr>
            <w:tcW w:w="118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FD4EDD">
              <w:rPr>
                <w:rFonts w:ascii="Arial" w:hAnsi="Arial" w:cs="Arial"/>
                <w:color w:val="70AD47" w:themeColor="accent6"/>
                <w:sz w:val="20"/>
                <w:szCs w:val="20"/>
              </w:rPr>
              <w:t>241.50</w:t>
            </w:r>
          </w:p>
        </w:tc>
        <w:tc>
          <w:tcPr>
            <w:tcW w:w="88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1D6BDD">
            <w:pPr>
              <w:jc w:val="right"/>
              <w:rPr>
                <w:rFonts w:ascii="Arial" w:hAnsi="Arial" w:cs="Arial"/>
                <w:color w:val="FF5D5D"/>
                <w:sz w:val="20"/>
                <w:szCs w:val="20"/>
              </w:rPr>
            </w:pPr>
            <w:r w:rsidRPr="00FD4EDD">
              <w:rPr>
                <w:rFonts w:ascii="Arial" w:hAnsi="Arial" w:cs="Arial"/>
                <w:color w:val="FF5D5D"/>
                <w:sz w:val="20"/>
                <w:szCs w:val="20"/>
              </w:rPr>
              <w:t>-7,620.27</w:t>
            </w:r>
          </w:p>
        </w:tc>
        <w:tc>
          <w:tcPr>
            <w:tcW w:w="1600" w:type="dxa"/>
            <w:shd w:val="clear" w:color="auto" w:fill="FFFFFF" w:themeFill="background1"/>
            <w:noWrap/>
            <w:vAlign w:val="bottom"/>
          </w:tcPr>
          <w:p w:rsidR="00FD4EDD" w:rsidRPr="00EC0C79" w:rsidRDefault="00FD4EDD" w:rsidP="001D6BDD">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CTA Indian</w:t>
            </w:r>
          </w:p>
        </w:tc>
        <w:tc>
          <w:tcPr>
            <w:tcW w:w="508"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1D6BDD">
            <w:pPr>
              <w:jc w:val="right"/>
              <w:rPr>
                <w:rFonts w:ascii="Arial" w:hAnsi="Arial" w:cs="Arial"/>
                <w:color w:val="FF5D5D"/>
                <w:sz w:val="20"/>
                <w:szCs w:val="20"/>
              </w:rPr>
            </w:pPr>
            <w:r w:rsidRPr="00FD4EDD">
              <w:rPr>
                <w:rFonts w:ascii="Arial" w:hAnsi="Arial" w:cs="Arial"/>
                <w:color w:val="FF5D5D"/>
                <w:sz w:val="20"/>
                <w:szCs w:val="20"/>
              </w:rPr>
              <w:t>-4,979.80</w:t>
            </w:r>
          </w:p>
        </w:tc>
        <w:tc>
          <w:tcPr>
            <w:tcW w:w="118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1D6BDD">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1D6BDD">
            <w:pPr>
              <w:jc w:val="right"/>
              <w:rPr>
                <w:rFonts w:ascii="Arial" w:hAnsi="Arial" w:cs="Arial"/>
                <w:color w:val="FF5D5D"/>
                <w:sz w:val="20"/>
                <w:szCs w:val="20"/>
              </w:rPr>
            </w:pPr>
            <w:r w:rsidRPr="00FD4EDD">
              <w:rPr>
                <w:rFonts w:ascii="Arial" w:hAnsi="Arial" w:cs="Arial"/>
                <w:color w:val="FF5D5D"/>
                <w:sz w:val="20"/>
                <w:szCs w:val="20"/>
              </w:rPr>
              <w:t>-4,979.80</w:t>
            </w:r>
          </w:p>
        </w:tc>
        <w:tc>
          <w:tcPr>
            <w:tcW w:w="1600" w:type="dxa"/>
            <w:shd w:val="clear" w:color="auto" w:fill="FFFFFF" w:themeFill="background1"/>
            <w:noWrap/>
            <w:vAlign w:val="bottom"/>
          </w:tcPr>
          <w:p w:rsidR="00FD4EDD" w:rsidRPr="00EC0C79" w:rsidRDefault="00FD4EDD" w:rsidP="001D6BDD">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Yes</w:t>
            </w:r>
            <w:r>
              <w:rPr>
                <w:rFonts w:ascii="Arial" w:eastAsia="Times New Roman" w:hAnsi="Arial" w:cs="Arial"/>
                <w:sz w:val="16"/>
                <w:szCs w:val="20"/>
                <w:lang w:eastAsia="en-GB"/>
              </w:rPr>
              <w:t xml:space="preserve"> </w:t>
            </w:r>
            <w:r w:rsidR="006C5428">
              <w:rPr>
                <w:rFonts w:ascii="Arial" w:eastAsia="Times New Roman" w:hAnsi="Arial" w:cs="Arial"/>
                <w:sz w:val="16"/>
                <w:szCs w:val="20"/>
                <w:lang w:eastAsia="en-GB"/>
              </w:rPr>
              <w:t>– called in</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 xml:space="preserve">RSM </w:t>
            </w:r>
            <w:proofErr w:type="spellStart"/>
            <w:r w:rsidRPr="00FD4EDD">
              <w:rPr>
                <w:rFonts w:ascii="Arial" w:eastAsia="Times New Roman" w:hAnsi="Arial" w:cs="Arial"/>
                <w:color w:val="44546A" w:themeColor="text2"/>
                <w:sz w:val="20"/>
                <w:szCs w:val="20"/>
                <w:lang w:eastAsia="en-GB"/>
              </w:rPr>
              <w:t>Geophys</w:t>
            </w:r>
            <w:proofErr w:type="spellEnd"/>
            <w:r w:rsidRPr="00FD4EDD">
              <w:rPr>
                <w:rFonts w:ascii="Arial" w:eastAsia="Times New Roman" w:hAnsi="Arial" w:cs="Arial"/>
                <w:color w:val="44546A" w:themeColor="text2"/>
                <w:sz w:val="20"/>
                <w:szCs w:val="20"/>
                <w:lang w:eastAsia="en-GB"/>
              </w:rPr>
              <w:t xml:space="preserve"> Soc</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-1,488.84</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-1,488.84</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Yes</w:t>
            </w:r>
            <w:r w:rsidR="006C5428">
              <w:rPr>
                <w:rFonts w:ascii="Arial" w:eastAsia="Times New Roman" w:hAnsi="Arial" w:cs="Arial"/>
                <w:sz w:val="16"/>
                <w:szCs w:val="20"/>
                <w:lang w:eastAsia="en-GB"/>
              </w:rPr>
              <w:t xml:space="preserve"> - called</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CTA CSSA</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-1,300.38</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-1,300.38</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Yes</w:t>
            </w:r>
            <w:r>
              <w:rPr>
                <w:rFonts w:ascii="Arial" w:eastAsia="Times New Roman" w:hAnsi="Arial" w:cs="Arial"/>
                <w:sz w:val="16"/>
                <w:szCs w:val="20"/>
                <w:lang w:eastAsia="en-GB"/>
              </w:rPr>
              <w:t xml:space="preserve"> – called in</w:t>
            </w:r>
          </w:p>
        </w:tc>
      </w:tr>
      <w:tr w:rsidR="00FD4EDD" w:rsidRPr="00EC0C79" w:rsidTr="00FD4EDD">
        <w:trPr>
          <w:trHeight w:val="311"/>
        </w:trPr>
        <w:tc>
          <w:tcPr>
            <w:tcW w:w="2420" w:type="dxa"/>
            <w:shd w:val="clear" w:color="auto" w:fill="FFFFFF" w:themeFill="background1"/>
            <w:noWrap/>
            <w:vAlign w:val="bottom"/>
            <w:hideMark/>
          </w:tcPr>
          <w:p w:rsidR="00FD4EDD" w:rsidRPr="00426B38" w:rsidRDefault="00FD4EDD" w:rsidP="00FD4EDD">
            <w:pPr>
              <w:spacing w:after="0" w:line="240" w:lineRule="auto"/>
              <w:jc w:val="center"/>
              <w:rPr>
                <w:rFonts w:ascii="Arial" w:eastAsia="Times New Roman" w:hAnsi="Arial" w:cs="Arial"/>
                <w:color w:val="44546A" w:themeColor="text2"/>
                <w:sz w:val="20"/>
                <w:szCs w:val="20"/>
                <w:lang w:eastAsia="en-GB"/>
              </w:rPr>
            </w:pPr>
            <w:r w:rsidRPr="00426B38">
              <w:rPr>
                <w:rFonts w:ascii="Arial" w:eastAsia="Times New Roman" w:hAnsi="Arial" w:cs="Arial"/>
                <w:color w:val="44546A" w:themeColor="text2"/>
                <w:sz w:val="20"/>
                <w:szCs w:val="20"/>
                <w:lang w:eastAsia="en-GB"/>
              </w:rPr>
              <w:t>ACC Karate Shotokan</w:t>
            </w:r>
          </w:p>
        </w:tc>
        <w:tc>
          <w:tcPr>
            <w:tcW w:w="508"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sz w:val="20"/>
                <w:szCs w:val="20"/>
                <w:lang w:eastAsia="en-GB"/>
              </w:rPr>
            </w:pPr>
            <w:r w:rsidRPr="00FD4EDD">
              <w:rPr>
                <w:rFonts w:ascii="Arial" w:eastAsia="Times New Roman" w:hAnsi="Arial" w:cs="Arial"/>
                <w:color w:val="70AD47" w:themeColor="accent6"/>
                <w:sz w:val="20"/>
                <w:szCs w:val="20"/>
                <w:lang w:eastAsia="en-GB"/>
              </w:rPr>
              <w:t xml:space="preserve">499.99 </w:t>
            </w:r>
            <w:r w:rsidRPr="00EC0C79">
              <w:rPr>
                <w:rFonts w:ascii="Arial" w:eastAsia="Times New Roman" w:hAnsi="Arial" w:cs="Arial"/>
                <w:sz w:val="20"/>
                <w:szCs w:val="20"/>
                <w:lang w:eastAsia="en-GB"/>
              </w:rPr>
              <w:t>(28%)</w:t>
            </w:r>
          </w:p>
        </w:tc>
        <w:tc>
          <w:tcPr>
            <w:tcW w:w="1193"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-1,541.22</w:t>
            </w:r>
          </w:p>
        </w:tc>
        <w:tc>
          <w:tcPr>
            <w:tcW w:w="1185"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995"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885"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sz w:val="20"/>
                <w:szCs w:val="20"/>
                <w:lang w:eastAsia="en-GB"/>
              </w:rPr>
            </w:pPr>
            <w:r w:rsidRPr="00426B38">
              <w:rPr>
                <w:rFonts w:ascii="Arial" w:eastAsia="Times New Roman" w:hAnsi="Arial" w:cs="Arial"/>
                <w:color w:val="FF5D5D"/>
                <w:sz w:val="20"/>
                <w:szCs w:val="20"/>
                <w:lang w:eastAsia="en-GB"/>
              </w:rPr>
              <w:t>-40.5</w:t>
            </w:r>
          </w:p>
        </w:tc>
        <w:tc>
          <w:tcPr>
            <w:tcW w:w="1188" w:type="dxa"/>
            <w:shd w:val="clear" w:color="auto" w:fill="FFFFFF" w:themeFill="background1"/>
            <w:vAlign w:val="center"/>
            <w:hideMark/>
          </w:tcPr>
          <w:p w:rsidR="00FD4EDD" w:rsidRPr="00426B38"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-1,131.73</w:t>
            </w:r>
          </w:p>
        </w:tc>
        <w:tc>
          <w:tcPr>
            <w:tcW w:w="1600" w:type="dxa"/>
            <w:shd w:val="clear" w:color="auto" w:fill="FFFFFF" w:themeFill="background1"/>
            <w:noWrap/>
            <w:vAlign w:val="bottom"/>
            <w:hideMark/>
          </w:tcPr>
          <w:p w:rsidR="00FD4EDD" w:rsidRPr="00426B38" w:rsidRDefault="00FD4EDD" w:rsidP="00EC0C79">
            <w:pPr>
              <w:spacing w:after="0" w:line="240" w:lineRule="auto"/>
              <w:jc w:val="center"/>
              <w:rPr>
                <w:rFonts w:ascii="Arial" w:eastAsia="Times New Roman" w:hAnsi="Arial" w:cs="Arial"/>
                <w:sz w:val="20"/>
                <w:szCs w:val="20"/>
                <w:lang w:eastAsia="en-GB"/>
              </w:rPr>
            </w:pPr>
            <w:r>
              <w:rPr>
                <w:rFonts w:ascii="Arial" w:eastAsia="Times New Roman" w:hAnsi="Arial" w:cs="Arial"/>
                <w:sz w:val="16"/>
                <w:szCs w:val="20"/>
                <w:lang w:eastAsia="en-GB"/>
              </w:rPr>
              <w:t>Made in</w:t>
            </w:r>
            <w:r w:rsidRPr="00EC0C79">
              <w:rPr>
                <w:rFonts w:ascii="Arial" w:eastAsia="Times New Roman" w:hAnsi="Arial" w:cs="Arial"/>
                <w:sz w:val="16"/>
                <w:szCs w:val="20"/>
                <w:lang w:eastAsia="en-GB"/>
              </w:rPr>
              <w:t xml:space="preserve"> 18/19, but need to reassess</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Community Sector</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-1,036.33</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-1,036.33</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Yes</w:t>
            </w:r>
            <w:r w:rsidR="006C5428">
              <w:rPr>
                <w:rFonts w:ascii="Arial" w:eastAsia="Times New Roman" w:hAnsi="Arial" w:cs="Arial"/>
                <w:sz w:val="16"/>
                <w:szCs w:val="20"/>
                <w:lang w:eastAsia="en-GB"/>
              </w:rPr>
              <w:t xml:space="preserve"> – called in</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CTA Chinese</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-1,115.11</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FD4EDD">
              <w:rPr>
                <w:rFonts w:ascii="Arial" w:hAnsi="Arial" w:cs="Arial"/>
                <w:color w:val="70AD47" w:themeColor="accent6"/>
                <w:sz w:val="20"/>
                <w:szCs w:val="20"/>
              </w:rPr>
              <w:t>278.34</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-836.77</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Yes</w:t>
            </w:r>
            <w:r w:rsidR="006C5428">
              <w:rPr>
                <w:rFonts w:ascii="Arial" w:eastAsia="Times New Roman" w:hAnsi="Arial" w:cs="Arial"/>
                <w:sz w:val="16"/>
                <w:szCs w:val="20"/>
                <w:lang w:eastAsia="en-GB"/>
              </w:rPr>
              <w:t xml:space="preserve"> – called in</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RCSU BioSoc</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-849.39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FD4EDD">
              <w:rPr>
                <w:rFonts w:ascii="Arial" w:hAnsi="Arial" w:cs="Arial"/>
                <w:color w:val="70AD47" w:themeColor="accent6"/>
                <w:sz w:val="20"/>
                <w:szCs w:val="20"/>
              </w:rPr>
              <w:t>87.75</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-761.64</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Yes</w:t>
            </w:r>
            <w:r w:rsidR="006C5428">
              <w:rPr>
                <w:rFonts w:ascii="Arial" w:eastAsia="Times New Roman" w:hAnsi="Arial" w:cs="Arial"/>
                <w:sz w:val="16"/>
                <w:szCs w:val="20"/>
                <w:lang w:eastAsia="en-GB"/>
              </w:rPr>
              <w:t xml:space="preserve"> – called in</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KND Model United Nations</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FD4EDD">
              <w:rPr>
                <w:rFonts w:ascii="Arial" w:hAnsi="Arial" w:cs="Arial"/>
                <w:color w:val="70AD47" w:themeColor="accent6"/>
                <w:sz w:val="20"/>
                <w:szCs w:val="20"/>
              </w:rPr>
              <w:t xml:space="preserve">450.63 </w:t>
            </w:r>
            <w:r w:rsidRPr="00EC0C79">
              <w:rPr>
                <w:rFonts w:ascii="Arial" w:hAnsi="Arial" w:cs="Arial"/>
                <w:sz w:val="20"/>
                <w:szCs w:val="20"/>
              </w:rPr>
              <w:t>(65%)</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-945.54</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-494.91</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REA Cheese</w:t>
            </w:r>
          </w:p>
        </w:tc>
        <w:tc>
          <w:tcPr>
            <w:tcW w:w="508"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1193" w:type="dxa"/>
            <w:shd w:val="clear" w:color="auto" w:fill="FFFFFF" w:themeFill="background1"/>
            <w:vAlign w:val="center"/>
          </w:tcPr>
          <w:p w:rsidR="00FD4EDD" w:rsidRPr="00FD4EDD"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-423.74</w:t>
            </w:r>
          </w:p>
        </w:tc>
        <w:tc>
          <w:tcPr>
            <w:tcW w:w="118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99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88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1188" w:type="dxa"/>
            <w:shd w:val="clear" w:color="auto" w:fill="FFFFFF" w:themeFill="background1"/>
            <w:vAlign w:val="center"/>
          </w:tcPr>
          <w:p w:rsidR="00FD4EDD" w:rsidRPr="00FD4EDD"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-423.74</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b/>
                <w:color w:val="FF0000"/>
                <w:sz w:val="16"/>
                <w:szCs w:val="20"/>
                <w:lang w:eastAsia="en-GB"/>
              </w:rPr>
            </w:pPr>
            <w:r>
              <w:rPr>
                <w:rFonts w:ascii="Arial" w:eastAsia="Times New Roman" w:hAnsi="Arial" w:cs="Arial"/>
                <w:b/>
                <w:color w:val="FF0000"/>
                <w:sz w:val="16"/>
                <w:szCs w:val="20"/>
                <w:lang w:eastAsia="en-GB"/>
              </w:rPr>
              <w:t xml:space="preserve">No - </w:t>
            </w:r>
            <w:r w:rsidR="00FD4EDD" w:rsidRPr="00EC0C79">
              <w:rPr>
                <w:rFonts w:ascii="Arial" w:eastAsia="Times New Roman" w:hAnsi="Arial" w:cs="Arial"/>
                <w:b/>
                <w:color w:val="FF0000"/>
                <w:sz w:val="16"/>
                <w:szCs w:val="20"/>
                <w:lang w:eastAsia="en-GB"/>
              </w:rPr>
              <w:t>INACTIVE</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NAI RCS Rugby Football</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-407.33</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-407.33</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b/>
                <w:color w:val="FF0000"/>
                <w:sz w:val="16"/>
                <w:szCs w:val="20"/>
                <w:lang w:eastAsia="en-GB"/>
              </w:rPr>
            </w:pPr>
            <w:r>
              <w:rPr>
                <w:rFonts w:ascii="Arial" w:eastAsia="Times New Roman" w:hAnsi="Arial" w:cs="Arial"/>
                <w:b/>
                <w:color w:val="FF0000"/>
                <w:sz w:val="16"/>
                <w:szCs w:val="20"/>
                <w:lang w:eastAsia="en-GB"/>
              </w:rPr>
              <w:t xml:space="preserve">No - </w:t>
            </w:r>
            <w:r w:rsidR="00FD4EDD" w:rsidRPr="00EC0C79">
              <w:rPr>
                <w:rFonts w:ascii="Arial" w:eastAsia="Times New Roman" w:hAnsi="Arial" w:cs="Arial"/>
                <w:b/>
                <w:color w:val="FF0000"/>
                <w:sz w:val="16"/>
                <w:szCs w:val="20"/>
                <w:lang w:eastAsia="en-GB"/>
              </w:rPr>
              <w:t>INACTIVE</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ICSMSU Basketball</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-390.00</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-390.00</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b/>
                <w:color w:val="FF0000"/>
                <w:sz w:val="16"/>
                <w:szCs w:val="20"/>
                <w:lang w:eastAsia="en-GB"/>
              </w:rPr>
            </w:pPr>
            <w:r>
              <w:rPr>
                <w:rFonts w:ascii="Arial" w:eastAsia="Times New Roman" w:hAnsi="Arial" w:cs="Arial"/>
                <w:b/>
                <w:color w:val="FF0000"/>
                <w:sz w:val="16"/>
                <w:szCs w:val="20"/>
                <w:lang w:eastAsia="en-GB"/>
              </w:rPr>
              <w:t xml:space="preserve">No - </w:t>
            </w:r>
            <w:r w:rsidR="00FD4EDD" w:rsidRPr="00EC0C79">
              <w:rPr>
                <w:rFonts w:ascii="Arial" w:eastAsia="Times New Roman" w:hAnsi="Arial" w:cs="Arial"/>
                <w:b/>
                <w:color w:val="FF0000"/>
                <w:sz w:val="16"/>
                <w:szCs w:val="20"/>
                <w:lang w:eastAsia="en-GB"/>
              </w:rPr>
              <w:t>INACTIVE</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RCSU Synthetic Biology</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FD4EDD">
              <w:rPr>
                <w:rFonts w:ascii="Arial" w:hAnsi="Arial" w:cs="Arial"/>
                <w:color w:val="70AD47" w:themeColor="accent6"/>
                <w:sz w:val="20"/>
                <w:szCs w:val="20"/>
              </w:rPr>
              <w:t xml:space="preserve">432.58 </w:t>
            </w:r>
            <w:r w:rsidRPr="00EC0C79">
              <w:rPr>
                <w:rFonts w:ascii="Arial" w:hAnsi="Arial" w:cs="Arial"/>
                <w:sz w:val="20"/>
                <w:szCs w:val="20"/>
              </w:rPr>
              <w:t>(68.63%)</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-749.35</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-316.77</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RSM Rugby</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-303.69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-303.69</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CTM Saudi</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-262.60</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-262.60</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CFC Mentality</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FD4EDD">
              <w:rPr>
                <w:rFonts w:ascii="Arial" w:hAnsi="Arial" w:cs="Arial"/>
                <w:color w:val="70AD47" w:themeColor="accent6"/>
                <w:sz w:val="20"/>
                <w:szCs w:val="20"/>
              </w:rPr>
              <w:t xml:space="preserve">1.87 </w:t>
            </w:r>
            <w:r w:rsidRPr="00EC0C79">
              <w:rPr>
                <w:rFonts w:ascii="Arial" w:hAnsi="Arial" w:cs="Arial"/>
                <w:sz w:val="20"/>
                <w:szCs w:val="20"/>
              </w:rPr>
              <w:t>(1.33%)</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-163.26</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-161.39</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CFC Soup Run</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-158.59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-158.59</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sz w:val="16"/>
                <w:szCs w:val="20"/>
                <w:lang w:eastAsia="en-GB"/>
              </w:rPr>
            </w:pPr>
            <w:r>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KNC Management</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-71.99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-71.99</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Knowledge Sector</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-53.19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-53.19</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KNE Animal Protection &amp; Education Society</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-49.11</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1.00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-48.11</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KNE Beyond</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-29.29</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-29.29</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REE Wilderness Medicine</w:t>
            </w:r>
          </w:p>
        </w:tc>
        <w:tc>
          <w:tcPr>
            <w:tcW w:w="508"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1193" w:type="dxa"/>
            <w:shd w:val="clear" w:color="auto" w:fill="FFFFFF" w:themeFill="background1"/>
            <w:vAlign w:val="center"/>
          </w:tcPr>
          <w:p w:rsidR="00FD4EDD" w:rsidRPr="00FD4EDD"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-23.05</w:t>
            </w:r>
          </w:p>
        </w:tc>
        <w:tc>
          <w:tcPr>
            <w:tcW w:w="118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99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885" w:type="dxa"/>
            <w:shd w:val="clear" w:color="auto" w:fill="FFFFFF" w:themeFill="background1"/>
            <w:vAlign w:val="center"/>
          </w:tcPr>
          <w:p w:rsidR="00FD4EDD" w:rsidRPr="00EC0C79" w:rsidRDefault="00FD4EDD" w:rsidP="00EC0C7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0.00</w:t>
            </w:r>
          </w:p>
        </w:tc>
        <w:tc>
          <w:tcPr>
            <w:tcW w:w="1188" w:type="dxa"/>
            <w:shd w:val="clear" w:color="auto" w:fill="FFFFFF" w:themeFill="background1"/>
            <w:vAlign w:val="center"/>
          </w:tcPr>
          <w:p w:rsidR="00FD4EDD" w:rsidRPr="00FD4EDD" w:rsidRDefault="00FD4EDD" w:rsidP="00EC0C79">
            <w:pPr>
              <w:spacing w:after="0" w:line="240" w:lineRule="auto"/>
              <w:jc w:val="right"/>
              <w:rPr>
                <w:rFonts w:ascii="Arial" w:eastAsia="Times New Roman" w:hAnsi="Arial" w:cs="Arial"/>
                <w:color w:val="FF5D5D"/>
                <w:sz w:val="20"/>
                <w:szCs w:val="20"/>
                <w:lang w:eastAsia="en-GB"/>
              </w:rPr>
            </w:pPr>
            <w:r w:rsidRPr="00FD4EDD">
              <w:rPr>
                <w:rFonts w:ascii="Arial" w:eastAsia="Times New Roman" w:hAnsi="Arial" w:cs="Arial"/>
                <w:color w:val="FF5D5D"/>
                <w:sz w:val="20"/>
                <w:szCs w:val="20"/>
                <w:lang w:eastAsia="en-GB"/>
              </w:rPr>
              <w:t>-23.5</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KND Conservative</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-16.60</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-16.60</w:t>
            </w:r>
          </w:p>
        </w:tc>
        <w:tc>
          <w:tcPr>
            <w:tcW w:w="1600" w:type="dxa"/>
            <w:shd w:val="clear" w:color="auto" w:fill="FFFFFF" w:themeFill="background1"/>
            <w:noWrap/>
            <w:vAlign w:val="bottom"/>
          </w:tcPr>
          <w:p w:rsidR="00FD4EDD" w:rsidRPr="00EC0C79" w:rsidRDefault="00FD4EDD" w:rsidP="00EC0C79">
            <w:pPr>
              <w:spacing w:after="0" w:line="240" w:lineRule="auto"/>
              <w:jc w:val="center"/>
              <w:rPr>
                <w:rFonts w:ascii="Arial" w:eastAsia="Times New Roman" w:hAnsi="Arial" w:cs="Arial"/>
                <w:sz w:val="16"/>
                <w:szCs w:val="20"/>
                <w:lang w:eastAsia="en-GB"/>
              </w:rPr>
            </w:pPr>
            <w:r w:rsidRPr="00EC0C79">
              <w:rPr>
                <w:rFonts w:ascii="Arial" w:eastAsia="Times New Roman" w:hAnsi="Arial" w:cs="Arial"/>
                <w:sz w:val="16"/>
                <w:szCs w:val="20"/>
                <w:lang w:eastAsia="en-GB"/>
              </w:rPr>
              <w:t>No</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NAI Endocrinology</w:t>
            </w:r>
          </w:p>
        </w:tc>
        <w:tc>
          <w:tcPr>
            <w:tcW w:w="508"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-12.27</w:t>
            </w:r>
          </w:p>
        </w:tc>
        <w:tc>
          <w:tcPr>
            <w:tcW w:w="11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sz w:val="20"/>
                <w:szCs w:val="20"/>
              </w:rPr>
            </w:pPr>
            <w:r w:rsidRPr="00EC0C79">
              <w:rPr>
                <w:rFonts w:ascii="Arial" w:hAnsi="Arial" w:cs="Arial"/>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color w:val="FF5D5D"/>
                <w:sz w:val="20"/>
                <w:szCs w:val="20"/>
              </w:rPr>
            </w:pPr>
            <w:r w:rsidRPr="00FD4EDD">
              <w:rPr>
                <w:rFonts w:ascii="Arial" w:hAnsi="Arial" w:cs="Arial"/>
                <w:color w:val="FF5D5D"/>
                <w:sz w:val="20"/>
                <w:szCs w:val="20"/>
              </w:rPr>
              <w:t>-12.27</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b/>
                <w:color w:val="FF0000"/>
                <w:sz w:val="16"/>
                <w:szCs w:val="20"/>
                <w:lang w:eastAsia="en-GB"/>
              </w:rPr>
            </w:pPr>
            <w:r>
              <w:rPr>
                <w:rFonts w:ascii="Arial" w:eastAsia="Times New Roman" w:hAnsi="Arial" w:cs="Arial"/>
                <w:b/>
                <w:color w:val="FF0000"/>
                <w:sz w:val="16"/>
                <w:szCs w:val="20"/>
                <w:lang w:eastAsia="en-GB"/>
              </w:rPr>
              <w:t xml:space="preserve">No - </w:t>
            </w:r>
            <w:r w:rsidR="00FD4EDD" w:rsidRPr="00EC0C79">
              <w:rPr>
                <w:rFonts w:ascii="Arial" w:eastAsia="Times New Roman" w:hAnsi="Arial" w:cs="Arial"/>
                <w:b/>
                <w:color w:val="FF0000"/>
                <w:sz w:val="16"/>
                <w:szCs w:val="20"/>
                <w:lang w:eastAsia="en-GB"/>
              </w:rPr>
              <w:t>INACTIVE</w:t>
            </w:r>
          </w:p>
        </w:tc>
      </w:tr>
      <w:tr w:rsidR="00FD4EDD" w:rsidRPr="00EC0C79" w:rsidTr="00FD4EDD">
        <w:trPr>
          <w:trHeight w:val="311"/>
        </w:trPr>
        <w:tc>
          <w:tcPr>
            <w:tcW w:w="2420" w:type="dxa"/>
            <w:shd w:val="clear" w:color="auto" w:fill="FFFFFF" w:themeFill="background1"/>
            <w:noWrap/>
            <w:vAlign w:val="bottom"/>
          </w:tcPr>
          <w:p w:rsidR="00FD4EDD" w:rsidRPr="00FD4EDD" w:rsidRDefault="00FD4EDD" w:rsidP="00FD4EDD">
            <w:pPr>
              <w:spacing w:after="0" w:line="240" w:lineRule="auto"/>
              <w:jc w:val="center"/>
              <w:rPr>
                <w:rFonts w:ascii="Arial" w:eastAsia="Times New Roman" w:hAnsi="Arial" w:cs="Arial"/>
                <w:color w:val="44546A" w:themeColor="text2"/>
                <w:sz w:val="20"/>
                <w:szCs w:val="20"/>
                <w:lang w:eastAsia="en-GB"/>
              </w:rPr>
            </w:pPr>
            <w:r w:rsidRPr="00FD4EDD">
              <w:rPr>
                <w:rFonts w:ascii="Arial" w:eastAsia="Times New Roman" w:hAnsi="Arial" w:cs="Arial"/>
                <w:color w:val="44546A" w:themeColor="text2"/>
                <w:sz w:val="20"/>
                <w:szCs w:val="20"/>
                <w:lang w:eastAsia="en-GB"/>
              </w:rPr>
              <w:t>RCSU Life Sciences Exec</w:t>
            </w:r>
          </w:p>
        </w:tc>
        <w:tc>
          <w:tcPr>
            <w:tcW w:w="508" w:type="dxa"/>
            <w:shd w:val="clear" w:color="auto" w:fill="FFFFFF" w:themeFill="background1"/>
            <w:vAlign w:val="center"/>
          </w:tcPr>
          <w:p w:rsidR="00FD4EDD" w:rsidRPr="00EC0C79" w:rsidRDefault="00FD4EDD" w:rsidP="00EC0C79">
            <w:pPr>
              <w:jc w:val="right"/>
              <w:rPr>
                <w:rFonts w:ascii="Arial" w:hAnsi="Arial" w:cs="Arial"/>
                <w:iCs/>
                <w:sz w:val="20"/>
                <w:szCs w:val="20"/>
              </w:rPr>
            </w:pPr>
            <w:r w:rsidRPr="00EC0C79">
              <w:rPr>
                <w:rFonts w:ascii="Arial" w:hAnsi="Arial" w:cs="Arial"/>
                <w:iCs/>
                <w:sz w:val="20"/>
                <w:szCs w:val="20"/>
              </w:rPr>
              <w:t>0.00</w:t>
            </w:r>
          </w:p>
        </w:tc>
        <w:tc>
          <w:tcPr>
            <w:tcW w:w="1193" w:type="dxa"/>
            <w:shd w:val="clear" w:color="auto" w:fill="FFFFFF" w:themeFill="background1"/>
            <w:vAlign w:val="center"/>
          </w:tcPr>
          <w:p w:rsidR="00FD4EDD" w:rsidRPr="00FD4EDD" w:rsidRDefault="00FD4EDD" w:rsidP="00EC0C79">
            <w:pPr>
              <w:jc w:val="right"/>
              <w:rPr>
                <w:rFonts w:ascii="Arial" w:hAnsi="Arial" w:cs="Arial"/>
                <w:iCs/>
                <w:color w:val="FF5D5D"/>
                <w:sz w:val="20"/>
                <w:szCs w:val="20"/>
              </w:rPr>
            </w:pPr>
            <w:r w:rsidRPr="00FD4EDD">
              <w:rPr>
                <w:rFonts w:ascii="Arial" w:hAnsi="Arial" w:cs="Arial"/>
                <w:iCs/>
                <w:color w:val="FF5D5D"/>
                <w:sz w:val="20"/>
                <w:szCs w:val="20"/>
              </w:rPr>
              <w:t>-10.00</w:t>
            </w:r>
          </w:p>
        </w:tc>
        <w:tc>
          <w:tcPr>
            <w:tcW w:w="1185" w:type="dxa"/>
            <w:shd w:val="clear" w:color="auto" w:fill="FFFFFF" w:themeFill="background1"/>
            <w:vAlign w:val="center"/>
          </w:tcPr>
          <w:p w:rsidR="00FD4EDD" w:rsidRPr="00EC0C79" w:rsidRDefault="00FD4EDD" w:rsidP="00EC0C79">
            <w:pPr>
              <w:jc w:val="right"/>
              <w:rPr>
                <w:rFonts w:ascii="Arial" w:hAnsi="Arial" w:cs="Arial"/>
                <w:iCs/>
                <w:sz w:val="20"/>
                <w:szCs w:val="20"/>
              </w:rPr>
            </w:pPr>
            <w:r w:rsidRPr="00EC0C79">
              <w:rPr>
                <w:rFonts w:ascii="Arial" w:hAnsi="Arial" w:cs="Arial"/>
                <w:iCs/>
                <w:sz w:val="20"/>
                <w:szCs w:val="20"/>
              </w:rPr>
              <w:t>0.00</w:t>
            </w:r>
          </w:p>
        </w:tc>
        <w:tc>
          <w:tcPr>
            <w:tcW w:w="995" w:type="dxa"/>
            <w:shd w:val="clear" w:color="auto" w:fill="FFFFFF" w:themeFill="background1"/>
            <w:vAlign w:val="center"/>
          </w:tcPr>
          <w:p w:rsidR="00FD4EDD" w:rsidRPr="00EC0C79" w:rsidRDefault="00FD4EDD" w:rsidP="00EC0C79">
            <w:pPr>
              <w:jc w:val="right"/>
              <w:rPr>
                <w:rFonts w:ascii="Arial" w:hAnsi="Arial" w:cs="Arial"/>
                <w:iCs/>
                <w:sz w:val="20"/>
                <w:szCs w:val="20"/>
              </w:rPr>
            </w:pPr>
            <w:r w:rsidRPr="00EC0C79">
              <w:rPr>
                <w:rFonts w:ascii="Arial" w:hAnsi="Arial" w:cs="Arial"/>
                <w:iCs/>
                <w:sz w:val="20"/>
                <w:szCs w:val="20"/>
              </w:rPr>
              <w:t>0.00</w:t>
            </w:r>
          </w:p>
        </w:tc>
        <w:tc>
          <w:tcPr>
            <w:tcW w:w="885" w:type="dxa"/>
            <w:shd w:val="clear" w:color="auto" w:fill="FFFFFF" w:themeFill="background1"/>
            <w:vAlign w:val="center"/>
          </w:tcPr>
          <w:p w:rsidR="00FD4EDD" w:rsidRPr="00EC0C79" w:rsidRDefault="00FD4EDD" w:rsidP="00EC0C79">
            <w:pPr>
              <w:jc w:val="right"/>
              <w:rPr>
                <w:rFonts w:ascii="Arial" w:hAnsi="Arial" w:cs="Arial"/>
                <w:iCs/>
                <w:sz w:val="20"/>
                <w:szCs w:val="20"/>
              </w:rPr>
            </w:pPr>
            <w:r w:rsidRPr="00EC0C79">
              <w:rPr>
                <w:rFonts w:ascii="Arial" w:hAnsi="Arial" w:cs="Arial"/>
                <w:iCs/>
                <w:sz w:val="20"/>
                <w:szCs w:val="20"/>
              </w:rPr>
              <w:t>0.00</w:t>
            </w:r>
          </w:p>
        </w:tc>
        <w:tc>
          <w:tcPr>
            <w:tcW w:w="1188" w:type="dxa"/>
            <w:shd w:val="clear" w:color="auto" w:fill="FFFFFF" w:themeFill="background1"/>
            <w:vAlign w:val="center"/>
          </w:tcPr>
          <w:p w:rsidR="00FD4EDD" w:rsidRPr="00FD4EDD" w:rsidRDefault="00FD4EDD" w:rsidP="00EC0C79">
            <w:pPr>
              <w:jc w:val="right"/>
              <w:rPr>
                <w:rFonts w:ascii="Arial" w:hAnsi="Arial" w:cs="Arial"/>
                <w:iCs/>
                <w:color w:val="FF5D5D"/>
                <w:sz w:val="20"/>
                <w:szCs w:val="20"/>
              </w:rPr>
            </w:pPr>
            <w:r w:rsidRPr="00FD4EDD">
              <w:rPr>
                <w:rFonts w:ascii="Arial" w:hAnsi="Arial" w:cs="Arial"/>
                <w:iCs/>
                <w:color w:val="FF5D5D"/>
                <w:sz w:val="20"/>
                <w:szCs w:val="20"/>
              </w:rPr>
              <w:t>-10.00</w:t>
            </w:r>
          </w:p>
        </w:tc>
        <w:tc>
          <w:tcPr>
            <w:tcW w:w="1600" w:type="dxa"/>
            <w:shd w:val="clear" w:color="auto" w:fill="FFFFFF" w:themeFill="background1"/>
            <w:noWrap/>
            <w:vAlign w:val="bottom"/>
          </w:tcPr>
          <w:p w:rsidR="00FD4EDD" w:rsidRPr="00EC0C79" w:rsidRDefault="002B1C03" w:rsidP="00EC0C79">
            <w:pPr>
              <w:spacing w:after="0" w:line="240" w:lineRule="auto"/>
              <w:jc w:val="center"/>
              <w:rPr>
                <w:rFonts w:ascii="Arial" w:eastAsia="Times New Roman" w:hAnsi="Arial" w:cs="Arial"/>
                <w:b/>
                <w:color w:val="FF0000"/>
                <w:sz w:val="16"/>
                <w:szCs w:val="20"/>
                <w:lang w:eastAsia="en-GB"/>
              </w:rPr>
            </w:pPr>
            <w:r>
              <w:rPr>
                <w:rFonts w:ascii="Arial" w:eastAsia="Times New Roman" w:hAnsi="Arial" w:cs="Arial"/>
                <w:b/>
                <w:color w:val="FF0000"/>
                <w:sz w:val="16"/>
                <w:szCs w:val="20"/>
                <w:lang w:eastAsia="en-GB"/>
              </w:rPr>
              <w:t xml:space="preserve">No - </w:t>
            </w:r>
            <w:r w:rsidR="00FD4EDD" w:rsidRPr="00EC0C79">
              <w:rPr>
                <w:rFonts w:ascii="Arial" w:eastAsia="Times New Roman" w:hAnsi="Arial" w:cs="Arial"/>
                <w:b/>
                <w:color w:val="FF0000"/>
                <w:sz w:val="16"/>
                <w:szCs w:val="20"/>
                <w:lang w:eastAsia="en-GB"/>
              </w:rPr>
              <w:t>INACTIVE</w:t>
            </w:r>
          </w:p>
        </w:tc>
      </w:tr>
    </w:tbl>
    <w:p w:rsidR="00426B38" w:rsidRDefault="00426B38"/>
    <w:p w:rsidR="001A57C5" w:rsidRDefault="001A57C5">
      <w:r>
        <w:t>Inactive clubs:</w:t>
      </w:r>
    </w:p>
    <w:p w:rsidR="00BE7E07" w:rsidRDefault="00EC0C79" w:rsidP="001A57C5">
      <w:pPr>
        <w:pStyle w:val="ListParagraph"/>
        <w:numPr>
          <w:ilvl w:val="0"/>
          <w:numId w:val="7"/>
        </w:numPr>
      </w:pPr>
      <w:r>
        <w:t xml:space="preserve">27 clubs inactive, 5 of which are in debt. Assessing which need to be absorbed. </w:t>
      </w:r>
    </w:p>
    <w:p w:rsidR="00040582" w:rsidRDefault="00BE7E07" w:rsidP="001A57C5">
      <w:pPr>
        <w:rPr>
          <w:b/>
          <w:sz w:val="28"/>
        </w:rPr>
      </w:pPr>
      <w:r>
        <w:br w:type="page"/>
      </w:r>
      <w:r w:rsidR="00C755BB" w:rsidRPr="00C755BB">
        <w:rPr>
          <w:b/>
          <w:sz w:val="28"/>
        </w:rPr>
        <w:lastRenderedPageBreak/>
        <w:t>Event Budget Approval Report</w:t>
      </w:r>
      <w:r w:rsidR="006C5AF9" w:rsidRPr="006E4820">
        <w:rPr>
          <w:b/>
          <w:sz w:val="28"/>
        </w:rPr>
        <w:t xml:space="preserve"> (1</w:t>
      </w:r>
      <w:r w:rsidR="006C5AF9" w:rsidRPr="006E4820">
        <w:rPr>
          <w:b/>
          <w:sz w:val="28"/>
          <w:vertAlign w:val="superscript"/>
        </w:rPr>
        <w:t>st</w:t>
      </w:r>
      <w:r w:rsidR="006C5AF9" w:rsidRPr="006E4820">
        <w:rPr>
          <w:b/>
          <w:sz w:val="28"/>
        </w:rPr>
        <w:t xml:space="preserve"> August 2019 – 15</w:t>
      </w:r>
      <w:r w:rsidR="006C5AF9" w:rsidRPr="006E4820">
        <w:rPr>
          <w:b/>
          <w:sz w:val="28"/>
          <w:vertAlign w:val="superscript"/>
        </w:rPr>
        <w:t>th</w:t>
      </w:r>
      <w:r w:rsidR="006C5AF9" w:rsidRPr="006E4820">
        <w:rPr>
          <w:b/>
          <w:sz w:val="28"/>
        </w:rPr>
        <w:t xml:space="preserve"> October 2019)</w:t>
      </w:r>
      <w:r w:rsidR="00C755BB" w:rsidRPr="00C755BB">
        <w:rPr>
          <w:b/>
          <w:sz w:val="28"/>
        </w:rPr>
        <w:t>: Ordered by Gross Expenditure</w:t>
      </w:r>
    </w:p>
    <w:p w:rsidR="001B78A7" w:rsidRPr="001B78A7" w:rsidRDefault="001B78A7" w:rsidP="001B78A7">
      <w:pPr>
        <w:rPr>
          <w:b/>
        </w:rPr>
      </w:pPr>
    </w:p>
    <w:tbl>
      <w:tblPr>
        <w:tblW w:w="11316" w:type="dxa"/>
        <w:tblInd w:w="-1060" w:type="dxa"/>
        <w:tblLayout w:type="fixed"/>
        <w:tblLook w:val="04A0" w:firstRow="1" w:lastRow="0" w:firstColumn="1" w:lastColumn="0" w:noHBand="0" w:noVBand="1"/>
      </w:tblPr>
      <w:tblGrid>
        <w:gridCol w:w="1055"/>
        <w:gridCol w:w="1049"/>
        <w:gridCol w:w="998"/>
        <w:gridCol w:w="999"/>
        <w:gridCol w:w="958"/>
        <w:gridCol w:w="1000"/>
        <w:gridCol w:w="1039"/>
        <w:gridCol w:w="1102"/>
        <w:gridCol w:w="935"/>
        <w:gridCol w:w="1071"/>
        <w:gridCol w:w="1110"/>
      </w:tblGrid>
      <w:tr w:rsidR="006C5AF9" w:rsidRPr="006C5AF9" w:rsidTr="001B78A7">
        <w:trPr>
          <w:cantSplit/>
          <w:trHeight w:val="456"/>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6" w:history="1">
              <w:r w:rsidRPr="006C5AF9">
                <w:rPr>
                  <w:rFonts w:ascii="Calibri" w:eastAsia="Times New Roman" w:hAnsi="Calibri" w:cs="Times New Roman"/>
                  <w:b/>
                  <w:bCs/>
                  <w:sz w:val="16"/>
                  <w:lang w:eastAsia="en-GB"/>
                </w:rPr>
                <w:t>Event Name</w:t>
              </w:r>
            </w:hyperlink>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7" w:history="1">
              <w:r w:rsidRPr="006C5AF9">
                <w:rPr>
                  <w:rFonts w:ascii="Calibri" w:eastAsia="Times New Roman" w:hAnsi="Calibri" w:cs="Times New Roman"/>
                  <w:b/>
                  <w:bCs/>
                  <w:sz w:val="16"/>
                  <w:lang w:eastAsia="en-GB"/>
                </w:rPr>
                <w:t>Venue</w:t>
              </w:r>
            </w:hyperlink>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8" w:history="1">
              <w:r w:rsidRPr="006C5AF9">
                <w:rPr>
                  <w:rFonts w:ascii="Calibri" w:eastAsia="Times New Roman" w:hAnsi="Calibri" w:cs="Times New Roman"/>
                  <w:b/>
                  <w:bCs/>
                  <w:sz w:val="16"/>
                  <w:lang w:eastAsia="en-GB"/>
                </w:rPr>
                <w:t>Event Date/Time</w:t>
              </w:r>
            </w:hyperlink>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9" w:history="1">
              <w:r w:rsidRPr="006C5AF9">
                <w:rPr>
                  <w:rFonts w:ascii="Calibri" w:eastAsia="Times New Roman" w:hAnsi="Calibri" w:cs="Times New Roman"/>
                  <w:b/>
                  <w:bCs/>
                  <w:sz w:val="16"/>
                  <w:lang w:eastAsia="en-GB"/>
                </w:rPr>
                <w:t>CSP Name</w:t>
              </w:r>
            </w:hyperlink>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0" w:history="1">
              <w:r w:rsidRPr="006C5AF9">
                <w:rPr>
                  <w:rFonts w:ascii="Calibri" w:eastAsia="Times New Roman" w:hAnsi="Calibri" w:cs="Times New Roman"/>
                  <w:b/>
                  <w:bCs/>
                  <w:sz w:val="16"/>
                  <w:lang w:eastAsia="en-GB"/>
                </w:rPr>
                <w:t>Attendees</w:t>
              </w:r>
            </w:hyperlink>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1" w:history="1">
              <w:r w:rsidRPr="006C5AF9">
                <w:rPr>
                  <w:rFonts w:ascii="Calibri" w:eastAsia="Times New Roman" w:hAnsi="Calibri" w:cs="Times New Roman"/>
                  <w:b/>
                  <w:bCs/>
                  <w:sz w:val="16"/>
                  <w:lang w:eastAsia="en-GB"/>
                </w:rPr>
                <w:t>Gross Income</w:t>
              </w:r>
            </w:hyperlink>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2" w:history="1">
              <w:r w:rsidRPr="006C5AF9">
                <w:rPr>
                  <w:rFonts w:ascii="Calibri" w:eastAsia="Times New Roman" w:hAnsi="Calibri" w:cs="Times New Roman"/>
                  <w:b/>
                  <w:bCs/>
                  <w:sz w:val="16"/>
                  <w:lang w:eastAsia="en-GB"/>
                </w:rPr>
                <w:t>Gross Expenditure</w:t>
              </w:r>
            </w:hyperlink>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3" w:history="1">
              <w:r w:rsidRPr="006C5AF9">
                <w:rPr>
                  <w:rFonts w:ascii="Calibri" w:eastAsia="Times New Roman" w:hAnsi="Calibri" w:cs="Times New Roman"/>
                  <w:b/>
                  <w:bCs/>
                  <w:sz w:val="16"/>
                  <w:lang w:eastAsia="en-GB"/>
                </w:rPr>
                <w:t>Gross Profit/(Loss)</w:t>
              </w:r>
            </w:hyperlink>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4" w:history="1">
              <w:r w:rsidRPr="006C5AF9">
                <w:rPr>
                  <w:rFonts w:ascii="Calibri" w:eastAsia="Times New Roman" w:hAnsi="Calibri" w:cs="Times New Roman"/>
                  <w:b/>
                  <w:bCs/>
                  <w:sz w:val="16"/>
                  <w:lang w:eastAsia="en-GB"/>
                </w:rPr>
                <w:t>Net Income</w:t>
              </w:r>
            </w:hyperlink>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5" w:history="1">
              <w:r w:rsidRPr="006C5AF9">
                <w:rPr>
                  <w:rFonts w:ascii="Calibri" w:eastAsia="Times New Roman" w:hAnsi="Calibri" w:cs="Times New Roman"/>
                  <w:b/>
                  <w:bCs/>
                  <w:sz w:val="16"/>
                  <w:lang w:eastAsia="en-GB"/>
                </w:rPr>
                <w:t>Net Expenditure</w:t>
              </w:r>
            </w:hyperlink>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6C5AF9">
            <w:pPr>
              <w:spacing w:after="0" w:line="240" w:lineRule="auto"/>
              <w:jc w:val="center"/>
              <w:rPr>
                <w:rFonts w:ascii="Calibri" w:eastAsia="Times New Roman" w:hAnsi="Calibri" w:cs="Times New Roman"/>
                <w:b/>
                <w:bCs/>
                <w:sz w:val="16"/>
                <w:lang w:eastAsia="en-GB"/>
              </w:rPr>
            </w:pPr>
            <w:hyperlink r:id="rId16" w:history="1">
              <w:r w:rsidRPr="006C5AF9">
                <w:rPr>
                  <w:rFonts w:ascii="Calibri" w:eastAsia="Times New Roman" w:hAnsi="Calibri" w:cs="Times New Roman"/>
                  <w:b/>
                  <w:bCs/>
                  <w:sz w:val="16"/>
                  <w:lang w:eastAsia="en-GB"/>
                </w:rPr>
                <w:t>Net Profit/(Loss)</w:t>
              </w:r>
            </w:hyperlink>
          </w:p>
        </w:tc>
      </w:tr>
      <w:tr w:rsidR="006C5AF9" w:rsidRPr="001B78A7" w:rsidTr="004B5143">
        <w:trPr>
          <w:trHeight w:val="515"/>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r w:rsidRPr="006C5AF9">
              <w:rPr>
                <w:rFonts w:ascii="Arial" w:eastAsia="Times New Roman" w:hAnsi="Arial" w:cs="Arial"/>
                <w:color w:val="000000"/>
                <w:sz w:val="16"/>
                <w:szCs w:val="20"/>
                <w:lang w:eastAsia="en-GB"/>
              </w:rPr>
              <w:t>Sapphire 2020</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proofErr w:type="spellStart"/>
            <w:r w:rsidRPr="006C5AF9">
              <w:rPr>
                <w:rFonts w:ascii="Arial" w:eastAsia="Times New Roman" w:hAnsi="Arial" w:cs="Arial"/>
                <w:color w:val="000000"/>
                <w:sz w:val="16"/>
                <w:szCs w:val="20"/>
                <w:lang w:eastAsia="en-GB"/>
              </w:rPr>
              <w:t>Troxy</w:t>
            </w:r>
            <w:proofErr w:type="spellEnd"/>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r w:rsidRPr="006C5AF9">
              <w:rPr>
                <w:rFonts w:ascii="Arial" w:eastAsia="Times New Roman" w:hAnsi="Arial" w:cs="Arial"/>
                <w:color w:val="000000"/>
                <w:sz w:val="16"/>
                <w:szCs w:val="20"/>
                <w:lang w:eastAsia="en-GB"/>
              </w:rPr>
              <w:t>22/02/20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r w:rsidRPr="006C5AF9">
              <w:rPr>
                <w:rFonts w:ascii="Arial" w:eastAsia="Times New Roman" w:hAnsi="Arial" w:cs="Arial"/>
                <w:color w:val="000000"/>
                <w:sz w:val="16"/>
                <w:szCs w:val="20"/>
                <w:lang w:eastAsia="en-GB"/>
              </w:rPr>
              <w:t xml:space="preserve">CTA </w:t>
            </w:r>
            <w:r w:rsidRPr="006C5AF9">
              <w:rPr>
                <w:rFonts w:ascii="Arial" w:eastAsia="Times New Roman" w:hAnsi="Arial" w:cs="Arial"/>
                <w:color w:val="000000"/>
                <w:sz w:val="16"/>
                <w:szCs w:val="20"/>
                <w:lang w:eastAsia="en-GB"/>
              </w:rPr>
              <w:t>Sri Lankan</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r w:rsidRPr="006C5AF9">
              <w:rPr>
                <w:rFonts w:ascii="Arial" w:eastAsia="Times New Roman" w:hAnsi="Arial" w:cs="Arial"/>
                <w:color w:val="000000"/>
                <w:sz w:val="16"/>
                <w:szCs w:val="20"/>
                <w:lang w:eastAsia="en-GB"/>
              </w:rPr>
              <w:t>1000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51,250.00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39,642.66</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11,607.34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51,166.67</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6C5AF9"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39,642.66</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11</w:t>
            </w:r>
            <w:r w:rsidR="001B78A7">
              <w:rPr>
                <w:rFonts w:ascii="Arial" w:eastAsia="Times New Roman" w:hAnsi="Arial" w:cs="Arial"/>
                <w:color w:val="000000"/>
                <w:sz w:val="16"/>
                <w:szCs w:val="16"/>
                <w:lang w:eastAsia="en-GB"/>
              </w:rPr>
              <w:t>,</w:t>
            </w:r>
            <w:r w:rsidRPr="001B78A7">
              <w:rPr>
                <w:rFonts w:ascii="Arial" w:eastAsia="Times New Roman" w:hAnsi="Arial" w:cs="Arial"/>
                <w:color w:val="000000"/>
                <w:sz w:val="16"/>
                <w:szCs w:val="16"/>
                <w:lang w:eastAsia="en-GB"/>
              </w:rPr>
              <w:t>524.01</w:t>
            </w:r>
          </w:p>
        </w:tc>
      </w:tr>
      <w:tr w:rsidR="006C5AF9" w:rsidRPr="001B78A7" w:rsidTr="00074FE5">
        <w:trPr>
          <w:trHeight w:val="515"/>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STFYD 2020</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sidRPr="004B5143">
              <w:rPr>
                <w:rFonts w:ascii="Arial" w:eastAsia="Times New Roman" w:hAnsi="Arial" w:cs="Arial"/>
                <w:color w:val="000000"/>
                <w:sz w:val="16"/>
                <w:szCs w:val="20"/>
                <w:lang w:eastAsia="en-GB"/>
              </w:rPr>
              <w:t xml:space="preserve">De Vere Grand </w:t>
            </w:r>
            <w:proofErr w:type="spellStart"/>
            <w:r w:rsidRPr="004B5143">
              <w:rPr>
                <w:rFonts w:ascii="Arial" w:eastAsia="Times New Roman" w:hAnsi="Arial" w:cs="Arial"/>
                <w:color w:val="000000"/>
                <w:sz w:val="16"/>
                <w:szCs w:val="20"/>
                <w:lang w:eastAsia="en-GB"/>
              </w:rPr>
              <w:t>Connaugth</w:t>
            </w:r>
            <w:proofErr w:type="spellEnd"/>
            <w:r w:rsidRPr="004B5143">
              <w:rPr>
                <w:rFonts w:ascii="Arial" w:eastAsia="Times New Roman" w:hAnsi="Arial" w:cs="Arial"/>
                <w:color w:val="000000"/>
                <w:sz w:val="16"/>
                <w:szCs w:val="20"/>
                <w:lang w:eastAsia="en-GB"/>
              </w:rPr>
              <w:t xml:space="preserve"> Rooms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29/02/20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ICSMSU Exec</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3</w:t>
            </w:r>
            <w:r w:rsidR="006C5AF9" w:rsidRPr="006C5AF9">
              <w:rPr>
                <w:rFonts w:ascii="Arial" w:eastAsia="Times New Roman" w:hAnsi="Arial" w:cs="Arial"/>
                <w:color w:val="000000"/>
                <w:sz w:val="16"/>
                <w:szCs w:val="20"/>
                <w:lang w:eastAsia="en-GB"/>
              </w:rPr>
              <w:t>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35,899.49</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36,437.07</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-537.58</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31,082.91</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30,397.56</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5AF9" w:rsidRPr="006C5AF9" w:rsidRDefault="004B5143"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685.35</w:t>
            </w:r>
          </w:p>
        </w:tc>
      </w:tr>
      <w:tr w:rsidR="001B78A7" w:rsidRPr="001B78A7" w:rsidTr="001B78A7">
        <w:trPr>
          <w:trHeight w:val="515"/>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Just Bollywood</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4B5143"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Gracepoint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07/12/19</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CTA Indian</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1100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30,600.00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19,744.80</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10,855.20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25,500.00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16,454.00</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9,046.00</w:t>
            </w:r>
          </w:p>
        </w:tc>
      </w:tr>
      <w:tr w:rsidR="001B78A7" w:rsidRPr="001B78A7" w:rsidTr="004B5143">
        <w:trPr>
          <w:trHeight w:val="515"/>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Halfway Dinner 2019</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4B5143"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Royal Garden Hotel</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19/10/19</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ICSMSU Exec</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240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18,867.00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18,735.00</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132.00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15,885.00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15,633.33</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251.67</w:t>
            </w:r>
          </w:p>
        </w:tc>
      </w:tr>
      <w:tr w:rsidR="001B78A7" w:rsidRPr="001B78A7" w:rsidTr="00074FE5">
        <w:trPr>
          <w:trHeight w:val="515"/>
        </w:trPr>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Malaysian Night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Great Hall</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07/03/20 &amp; 08/03/20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CTA Malaysian</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1200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Default="001B78A7" w:rsidP="001B78A7">
            <w:pPr>
              <w:spacing w:after="0" w:line="240" w:lineRule="auto"/>
              <w:jc w:val="right"/>
              <w:rPr>
                <w:rFonts w:ascii="Arial" w:eastAsia="Times New Roman" w:hAnsi="Arial" w:cs="Arial"/>
                <w:color w:val="000000"/>
                <w:sz w:val="16"/>
                <w:szCs w:val="20"/>
                <w:lang w:eastAsia="en-GB"/>
              </w:rPr>
            </w:pPr>
            <w:r>
              <w:rPr>
                <w:rFonts w:ascii="Arial" w:eastAsia="Times New Roman" w:hAnsi="Arial" w:cs="Arial"/>
                <w:color w:val="000000"/>
                <w:sz w:val="16"/>
                <w:szCs w:val="20"/>
                <w:lang w:eastAsia="en-GB"/>
              </w:rPr>
              <w:t>12,000.00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10,497.24</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line="240" w:lineRule="auto"/>
              <w:jc w:val="right"/>
              <w:rPr>
                <w:rFonts w:ascii="Arial" w:eastAsia="Times New Roman" w:hAnsi="Arial" w:cs="Arial"/>
                <w:color w:val="000000"/>
                <w:sz w:val="16"/>
                <w:szCs w:val="16"/>
                <w:lang w:eastAsia="en-GB"/>
              </w:rPr>
            </w:pPr>
            <w:r w:rsidRPr="001B78A7">
              <w:rPr>
                <w:rFonts w:ascii="Arial" w:eastAsia="Times New Roman" w:hAnsi="Arial" w:cs="Arial"/>
                <w:color w:val="000000"/>
                <w:sz w:val="16"/>
                <w:szCs w:val="16"/>
                <w:lang w:eastAsia="en-GB"/>
              </w:rPr>
              <w:t>1,502.76</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10,000.00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9,521.03</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78A7" w:rsidRPr="001B78A7" w:rsidRDefault="001B78A7" w:rsidP="001B78A7">
            <w:pPr>
              <w:spacing w:after="0"/>
              <w:jc w:val="right"/>
              <w:rPr>
                <w:rFonts w:ascii="Arial" w:hAnsi="Arial" w:cs="Arial"/>
                <w:color w:val="444444"/>
                <w:sz w:val="16"/>
                <w:szCs w:val="16"/>
              </w:rPr>
            </w:pPr>
            <w:r w:rsidRPr="001B78A7">
              <w:rPr>
                <w:rFonts w:ascii="Arial" w:hAnsi="Arial" w:cs="Arial"/>
                <w:color w:val="444444"/>
                <w:sz w:val="16"/>
                <w:szCs w:val="16"/>
              </w:rPr>
              <w:t>478.97</w:t>
            </w:r>
          </w:p>
        </w:tc>
      </w:tr>
    </w:tbl>
    <w:p w:rsidR="006C5AF9" w:rsidRDefault="006C5AF9" w:rsidP="001B78A7">
      <w:pPr>
        <w:jc w:val="right"/>
      </w:pPr>
    </w:p>
    <w:p w:rsidR="001B78A7" w:rsidRDefault="00F00C1C" w:rsidP="00A16014">
      <w:pPr>
        <w:spacing w:after="0"/>
      </w:pPr>
      <w:r>
        <w:t>Sapphire 2020</w:t>
      </w:r>
      <w:r w:rsidR="001B78A7">
        <w:t>:</w:t>
      </w:r>
    </w:p>
    <w:p w:rsidR="001B78A7" w:rsidRDefault="001B78A7" w:rsidP="00A16014">
      <w:pPr>
        <w:pStyle w:val="ListParagraph"/>
        <w:numPr>
          <w:ilvl w:val="0"/>
          <w:numId w:val="5"/>
        </w:numPr>
        <w:spacing w:after="0"/>
      </w:pPr>
      <w:r>
        <w:t>Considered a VAT exempt event</w:t>
      </w:r>
    </w:p>
    <w:p w:rsidR="001B78A7" w:rsidRDefault="001B78A7" w:rsidP="00A16014">
      <w:pPr>
        <w:pStyle w:val="ListParagraph"/>
        <w:numPr>
          <w:ilvl w:val="0"/>
          <w:numId w:val="5"/>
        </w:numPr>
        <w:spacing w:after="0"/>
      </w:pPr>
      <w:r>
        <w:t>Not in debt (+£11,568.72): overdue charity donation, of £6500, from Sapphire 2019. Concerns over the charity of choice, so in discussion with DPFS about how to proceed.</w:t>
      </w:r>
    </w:p>
    <w:p w:rsidR="001B78A7" w:rsidRDefault="001B78A7" w:rsidP="00A16014">
      <w:pPr>
        <w:pStyle w:val="ListParagraph"/>
        <w:numPr>
          <w:ilvl w:val="0"/>
          <w:numId w:val="5"/>
        </w:numPr>
        <w:spacing w:after="0"/>
      </w:pPr>
      <w:r>
        <w:t>High risk event due to large expenditure</w:t>
      </w:r>
    </w:p>
    <w:p w:rsidR="001B78A7" w:rsidRDefault="001B78A7" w:rsidP="00A16014">
      <w:pPr>
        <w:pStyle w:val="ListParagraph"/>
        <w:numPr>
          <w:ilvl w:val="0"/>
          <w:numId w:val="5"/>
        </w:numPr>
        <w:spacing w:after="0"/>
      </w:pPr>
      <w:r>
        <w:t xml:space="preserve">Issues last year, including excessive ticket prices on the door and insufficient catering. </w:t>
      </w:r>
      <w:r w:rsidR="00F00C1C">
        <w:t xml:space="preserve">ICU released an official statement. </w:t>
      </w:r>
      <w:r>
        <w:t>Had a meeting with DPFS on October 7</w:t>
      </w:r>
      <w:r w:rsidRPr="001B78A7">
        <w:rPr>
          <w:vertAlign w:val="superscript"/>
        </w:rPr>
        <w:t>th</w:t>
      </w:r>
      <w:r>
        <w:t xml:space="preserve"> to discuss </w:t>
      </w:r>
      <w:r w:rsidR="00F00C1C">
        <w:t xml:space="preserve">how to prevent issues reoccurring. </w:t>
      </w:r>
    </w:p>
    <w:p w:rsidR="00A16014" w:rsidRPr="00040582" w:rsidRDefault="00A16014" w:rsidP="00A16014">
      <w:pPr>
        <w:spacing w:after="0"/>
      </w:pPr>
    </w:p>
    <w:p w:rsidR="00F00C1C" w:rsidRDefault="00F00C1C" w:rsidP="00A16014">
      <w:pPr>
        <w:spacing w:after="0"/>
      </w:pPr>
      <w:r>
        <w:t>Just Bollywood:</w:t>
      </w:r>
    </w:p>
    <w:p w:rsidR="00F00C1C" w:rsidRDefault="00F00C1C" w:rsidP="00A16014">
      <w:pPr>
        <w:pStyle w:val="ListParagraph"/>
        <w:numPr>
          <w:ilvl w:val="0"/>
          <w:numId w:val="6"/>
        </w:numPr>
        <w:spacing w:after="0"/>
      </w:pPr>
      <w:r>
        <w:t xml:space="preserve">Indian Society are ~£5k in </w:t>
      </w:r>
      <w:r w:rsidR="00A16014">
        <w:t>debt and</w:t>
      </w:r>
      <w:r>
        <w:t xml:space="preserve"> have </w:t>
      </w:r>
      <w:r w:rsidR="00A16014">
        <w:t>been in debt since 2014/15</w:t>
      </w:r>
      <w:r>
        <w:t xml:space="preserve">. They run two major events in the year – ‘Just Bollywood’ </w:t>
      </w:r>
      <w:r w:rsidR="00A16014">
        <w:t xml:space="preserve">(since 2015/16) </w:t>
      </w:r>
      <w:r>
        <w:t>and ‘East Meets West’</w:t>
      </w:r>
      <w:r w:rsidR="00A16014">
        <w:t xml:space="preserve"> (since 2008/09)</w:t>
      </w:r>
    </w:p>
    <w:p w:rsidR="00F00C1C" w:rsidRDefault="00A16014" w:rsidP="00A16014">
      <w:pPr>
        <w:pStyle w:val="ListParagraph"/>
        <w:numPr>
          <w:ilvl w:val="0"/>
          <w:numId w:val="6"/>
        </w:numPr>
        <w:spacing w:after="0"/>
      </w:pPr>
      <w:r>
        <w:t>Poor coding makes it difficult to identify which event is of the greater concern, or if they both are struggling, but the current indication is ‘Just Bollywood’ is much less successful than ‘East Meets West’</w:t>
      </w:r>
    </w:p>
    <w:p w:rsidR="00A16014" w:rsidRDefault="00A16014" w:rsidP="00A16014">
      <w:pPr>
        <w:spacing w:after="0"/>
      </w:pPr>
    </w:p>
    <w:p w:rsidR="00F00C1C" w:rsidRDefault="00F00C1C" w:rsidP="00A16014">
      <w:pPr>
        <w:spacing w:after="0"/>
      </w:pPr>
      <w:r>
        <w:t>Notes:</w:t>
      </w:r>
    </w:p>
    <w:p w:rsidR="001A57C5" w:rsidRDefault="00F00C1C" w:rsidP="00A16014">
      <w:pPr>
        <w:spacing w:after="0"/>
      </w:pPr>
      <w:r>
        <w:t>- Awaiting Punjabi’s ‘The Bhangra Showdown’ event budget, but have had several meetings (as required by the debt management plan) and seen the plan for budget before approving venue deposit</w:t>
      </w:r>
    </w:p>
    <w:p w:rsidR="006E4820" w:rsidRDefault="001A57C5" w:rsidP="00A16014">
      <w:pPr>
        <w:spacing w:after="0"/>
      </w:pPr>
      <w:r>
        <w:t>- ICSMSU Exec follow a trend of high expenditure at the start of the academic year for large events (this is what puts them in debt</w:t>
      </w:r>
      <w:proofErr w:type="gramStart"/>
      <w:r>
        <w:t>), but</w:t>
      </w:r>
      <w:proofErr w:type="gramEnd"/>
      <w:r>
        <w:t xml:space="preserve"> awaiting high income once ticket sales go live. </w:t>
      </w:r>
      <w:proofErr w:type="gramStart"/>
      <w:r>
        <w:t>This is why</w:t>
      </w:r>
      <w:proofErr w:type="gramEnd"/>
      <w:r>
        <w:t xml:space="preserve"> an event budget is not required.</w:t>
      </w:r>
      <w:r w:rsidR="006E4820">
        <w:br w:type="page"/>
      </w:r>
    </w:p>
    <w:p w:rsidR="001D6BDD" w:rsidRPr="006E4820" w:rsidRDefault="00BE7E07" w:rsidP="006E4820">
      <w:pPr>
        <w:jc w:val="center"/>
        <w:rPr>
          <w:b/>
          <w:sz w:val="32"/>
        </w:rPr>
      </w:pPr>
      <w:r w:rsidRPr="006E4820">
        <w:rPr>
          <w:b/>
          <w:sz w:val="32"/>
        </w:rPr>
        <w:lastRenderedPageBreak/>
        <w:t>Appendix</w:t>
      </w:r>
    </w:p>
    <w:p w:rsidR="00BE7E07" w:rsidRDefault="00BE7E07">
      <w:r>
        <w:t>[1] Punjabi Society’s Debt Management Plan</w:t>
      </w:r>
    </w:p>
    <w:p w:rsidR="00BE7E07" w:rsidRDefault="00BE7E07" w:rsidP="006E4820">
      <w:pPr>
        <w:pStyle w:val="ListParagraph"/>
        <w:numPr>
          <w:ilvl w:val="0"/>
          <w:numId w:val="2"/>
        </w:numPr>
        <w:spacing w:after="0"/>
      </w:pPr>
      <w:r>
        <w:t>Weekly updates to DPFS and DPCS, alternating between in person and via email</w:t>
      </w:r>
    </w:p>
    <w:p w:rsidR="006E4820" w:rsidRDefault="00BE7E07" w:rsidP="006E4820">
      <w:pPr>
        <w:pStyle w:val="ListParagraph"/>
        <w:numPr>
          <w:ilvl w:val="0"/>
          <w:numId w:val="2"/>
        </w:numPr>
        <w:spacing w:after="0"/>
      </w:pPr>
      <w:r>
        <w:t>All budgets made were based around 2000 people attending</w:t>
      </w:r>
      <w:r w:rsidR="006E4820">
        <w:t xml:space="preserve"> </w:t>
      </w:r>
    </w:p>
    <w:p w:rsidR="006E4820" w:rsidRDefault="006E4820" w:rsidP="006E4820">
      <w:pPr>
        <w:pStyle w:val="ListParagraph"/>
        <w:numPr>
          <w:ilvl w:val="1"/>
          <w:numId w:val="2"/>
        </w:numPr>
        <w:spacing w:after="0"/>
      </w:pPr>
      <w:r>
        <w:t xml:space="preserve">Expecting 2400, but 2000 has been guaranteed in the past </w:t>
      </w:r>
    </w:p>
    <w:p w:rsidR="00BE7E07" w:rsidRDefault="006E4820" w:rsidP="006E4820">
      <w:pPr>
        <w:pStyle w:val="ListParagraph"/>
        <w:numPr>
          <w:ilvl w:val="1"/>
          <w:numId w:val="2"/>
        </w:numPr>
        <w:spacing w:after="0"/>
      </w:pPr>
      <w:r>
        <w:t>2018/19 being an exception due to an event clash with BBC Asian Network holding a similar event on the same day</w:t>
      </w:r>
    </w:p>
    <w:p w:rsidR="00BE7E07" w:rsidRDefault="00BE7E07" w:rsidP="006E4820">
      <w:pPr>
        <w:pStyle w:val="ListParagraph"/>
        <w:numPr>
          <w:ilvl w:val="0"/>
          <w:numId w:val="2"/>
        </w:numPr>
        <w:spacing w:after="0"/>
      </w:pPr>
      <w:r>
        <w:t>Increased ticket costs</w:t>
      </w:r>
    </w:p>
    <w:p w:rsidR="00BE7E07" w:rsidRDefault="00BE7E07" w:rsidP="006E4820">
      <w:pPr>
        <w:pStyle w:val="ListParagraph"/>
        <w:numPr>
          <w:ilvl w:val="0"/>
          <w:numId w:val="2"/>
        </w:numPr>
        <w:spacing w:after="0"/>
      </w:pPr>
      <w:r>
        <w:t xml:space="preserve">No charity donations until out of debt </w:t>
      </w:r>
    </w:p>
    <w:p w:rsidR="00BE7E07" w:rsidRDefault="006E4820" w:rsidP="006E4820">
      <w:pPr>
        <w:pStyle w:val="ListParagraph"/>
        <w:numPr>
          <w:ilvl w:val="0"/>
          <w:numId w:val="2"/>
        </w:numPr>
        <w:spacing w:after="0"/>
      </w:pPr>
      <w:r>
        <w:t>No flexibility beyond agreed limit for production costs</w:t>
      </w:r>
    </w:p>
    <w:p w:rsidR="006E4820" w:rsidRDefault="006E4820" w:rsidP="006E4820">
      <w:pPr>
        <w:pStyle w:val="ListParagraph"/>
        <w:numPr>
          <w:ilvl w:val="1"/>
          <w:numId w:val="2"/>
        </w:numPr>
        <w:spacing w:after="0"/>
      </w:pPr>
      <w:r>
        <w:t>Was exceeded in 2018/19 by £10k+, which was not budgeted for</w:t>
      </w:r>
    </w:p>
    <w:p w:rsidR="006E4820" w:rsidRDefault="006E4820" w:rsidP="006E4820">
      <w:pPr>
        <w:pStyle w:val="ListParagraph"/>
        <w:numPr>
          <w:ilvl w:val="0"/>
          <w:numId w:val="2"/>
        </w:numPr>
        <w:spacing w:after="0"/>
      </w:pPr>
      <w:r>
        <w:t>Delegated sponsorship team, but no dependence on it as income</w:t>
      </w:r>
    </w:p>
    <w:sectPr w:rsidR="006E4820" w:rsidSect="00E80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0CBA"/>
    <w:multiLevelType w:val="hybridMultilevel"/>
    <w:tmpl w:val="3CAE6728"/>
    <w:lvl w:ilvl="0" w:tplc="6DEA25B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572B7"/>
    <w:multiLevelType w:val="hybridMultilevel"/>
    <w:tmpl w:val="4D285F1E"/>
    <w:lvl w:ilvl="0" w:tplc="6DEA2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B7E0F"/>
    <w:multiLevelType w:val="hybridMultilevel"/>
    <w:tmpl w:val="A926C75E"/>
    <w:lvl w:ilvl="0" w:tplc="6DEA2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83918"/>
    <w:multiLevelType w:val="hybridMultilevel"/>
    <w:tmpl w:val="02DE5A40"/>
    <w:lvl w:ilvl="0" w:tplc="6DEA2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03E0D"/>
    <w:multiLevelType w:val="hybridMultilevel"/>
    <w:tmpl w:val="7442A908"/>
    <w:lvl w:ilvl="0" w:tplc="6DEA2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0376E"/>
    <w:multiLevelType w:val="hybridMultilevel"/>
    <w:tmpl w:val="5DEE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30CC9"/>
    <w:multiLevelType w:val="hybridMultilevel"/>
    <w:tmpl w:val="56CEA360"/>
    <w:lvl w:ilvl="0" w:tplc="6DEA2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F9"/>
    <w:rsid w:val="00040582"/>
    <w:rsid w:val="00074FE5"/>
    <w:rsid w:val="001A57C5"/>
    <w:rsid w:val="001B78A7"/>
    <w:rsid w:val="001D6BDD"/>
    <w:rsid w:val="00206B12"/>
    <w:rsid w:val="002A0AA7"/>
    <w:rsid w:val="002A42F2"/>
    <w:rsid w:val="002A6238"/>
    <w:rsid w:val="002B1C03"/>
    <w:rsid w:val="003D5C5F"/>
    <w:rsid w:val="004054B6"/>
    <w:rsid w:val="00426B38"/>
    <w:rsid w:val="004B5143"/>
    <w:rsid w:val="005536D0"/>
    <w:rsid w:val="006C5428"/>
    <w:rsid w:val="006C5AF9"/>
    <w:rsid w:val="006E4820"/>
    <w:rsid w:val="0097140E"/>
    <w:rsid w:val="00A16014"/>
    <w:rsid w:val="00A948F9"/>
    <w:rsid w:val="00BE7E07"/>
    <w:rsid w:val="00C755BB"/>
    <w:rsid w:val="00E80B36"/>
    <w:rsid w:val="00EC0C79"/>
    <w:rsid w:val="00F00C1C"/>
    <w:rsid w:val="00FD4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5E8D"/>
  <w15:chartTrackingRefBased/>
  <w15:docId w15:val="{B1067B78-8D82-4A94-A0C6-1C026BAA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8F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9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948F9"/>
  </w:style>
  <w:style w:type="paragraph" w:customStyle="1" w:styleId="paragraph">
    <w:name w:val="paragraph"/>
    <w:basedOn w:val="Normal"/>
    <w:rsid w:val="00A948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948F9"/>
  </w:style>
  <w:style w:type="paragraph" w:styleId="BalloonText">
    <w:name w:val="Balloon Text"/>
    <w:basedOn w:val="Normal"/>
    <w:link w:val="BalloonTextChar"/>
    <w:uiPriority w:val="99"/>
    <w:semiHidden/>
    <w:unhideWhenUsed/>
    <w:rsid w:val="00A9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F9"/>
    <w:rPr>
      <w:rFonts w:ascii="Segoe UI" w:hAnsi="Segoe UI" w:cs="Segoe UI"/>
      <w:sz w:val="18"/>
      <w:szCs w:val="18"/>
    </w:rPr>
  </w:style>
  <w:style w:type="paragraph" w:styleId="ListParagraph">
    <w:name w:val="List Paragraph"/>
    <w:basedOn w:val="Normal"/>
    <w:uiPriority w:val="34"/>
    <w:qFormat/>
    <w:rsid w:val="006E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425">
      <w:bodyDiv w:val="1"/>
      <w:marLeft w:val="0"/>
      <w:marRight w:val="0"/>
      <w:marTop w:val="0"/>
      <w:marBottom w:val="0"/>
      <w:divBdr>
        <w:top w:val="none" w:sz="0" w:space="0" w:color="auto"/>
        <w:left w:val="none" w:sz="0" w:space="0" w:color="auto"/>
        <w:bottom w:val="none" w:sz="0" w:space="0" w:color="auto"/>
        <w:right w:val="none" w:sz="0" w:space="0" w:color="auto"/>
      </w:divBdr>
    </w:div>
    <w:div w:id="77290015">
      <w:bodyDiv w:val="1"/>
      <w:marLeft w:val="0"/>
      <w:marRight w:val="0"/>
      <w:marTop w:val="0"/>
      <w:marBottom w:val="0"/>
      <w:divBdr>
        <w:top w:val="none" w:sz="0" w:space="0" w:color="auto"/>
        <w:left w:val="none" w:sz="0" w:space="0" w:color="auto"/>
        <w:bottom w:val="none" w:sz="0" w:space="0" w:color="auto"/>
        <w:right w:val="none" w:sz="0" w:space="0" w:color="auto"/>
      </w:divBdr>
      <w:divsChild>
        <w:div w:id="1124695070">
          <w:marLeft w:val="0"/>
          <w:marRight w:val="0"/>
          <w:marTop w:val="0"/>
          <w:marBottom w:val="0"/>
          <w:divBdr>
            <w:top w:val="single" w:sz="6" w:space="0" w:color="CCCCCC"/>
            <w:left w:val="single" w:sz="6" w:space="0" w:color="CCCCCC"/>
            <w:bottom w:val="single" w:sz="6" w:space="0" w:color="CCCCCC"/>
            <w:right w:val="single" w:sz="6" w:space="0" w:color="CCCCCC"/>
          </w:divBdr>
        </w:div>
        <w:div w:id="72614721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30565563">
      <w:bodyDiv w:val="1"/>
      <w:marLeft w:val="0"/>
      <w:marRight w:val="0"/>
      <w:marTop w:val="0"/>
      <w:marBottom w:val="0"/>
      <w:divBdr>
        <w:top w:val="none" w:sz="0" w:space="0" w:color="auto"/>
        <w:left w:val="none" w:sz="0" w:space="0" w:color="auto"/>
        <w:bottom w:val="none" w:sz="0" w:space="0" w:color="auto"/>
        <w:right w:val="none" w:sz="0" w:space="0" w:color="auto"/>
      </w:divBdr>
    </w:div>
    <w:div w:id="229118807">
      <w:bodyDiv w:val="1"/>
      <w:marLeft w:val="0"/>
      <w:marRight w:val="0"/>
      <w:marTop w:val="0"/>
      <w:marBottom w:val="0"/>
      <w:divBdr>
        <w:top w:val="none" w:sz="0" w:space="0" w:color="auto"/>
        <w:left w:val="none" w:sz="0" w:space="0" w:color="auto"/>
        <w:bottom w:val="none" w:sz="0" w:space="0" w:color="auto"/>
        <w:right w:val="none" w:sz="0" w:space="0" w:color="auto"/>
      </w:divBdr>
    </w:div>
    <w:div w:id="249851688">
      <w:bodyDiv w:val="1"/>
      <w:marLeft w:val="0"/>
      <w:marRight w:val="0"/>
      <w:marTop w:val="0"/>
      <w:marBottom w:val="0"/>
      <w:divBdr>
        <w:top w:val="none" w:sz="0" w:space="0" w:color="auto"/>
        <w:left w:val="none" w:sz="0" w:space="0" w:color="auto"/>
        <w:bottom w:val="none" w:sz="0" w:space="0" w:color="auto"/>
        <w:right w:val="none" w:sz="0" w:space="0" w:color="auto"/>
      </w:divBdr>
    </w:div>
    <w:div w:id="274755984">
      <w:bodyDiv w:val="1"/>
      <w:marLeft w:val="0"/>
      <w:marRight w:val="0"/>
      <w:marTop w:val="0"/>
      <w:marBottom w:val="0"/>
      <w:divBdr>
        <w:top w:val="none" w:sz="0" w:space="0" w:color="auto"/>
        <w:left w:val="none" w:sz="0" w:space="0" w:color="auto"/>
        <w:bottom w:val="none" w:sz="0" w:space="0" w:color="auto"/>
        <w:right w:val="none" w:sz="0" w:space="0" w:color="auto"/>
      </w:divBdr>
    </w:div>
    <w:div w:id="346178585">
      <w:bodyDiv w:val="1"/>
      <w:marLeft w:val="0"/>
      <w:marRight w:val="0"/>
      <w:marTop w:val="0"/>
      <w:marBottom w:val="0"/>
      <w:divBdr>
        <w:top w:val="none" w:sz="0" w:space="0" w:color="auto"/>
        <w:left w:val="none" w:sz="0" w:space="0" w:color="auto"/>
        <w:bottom w:val="none" w:sz="0" w:space="0" w:color="auto"/>
        <w:right w:val="none" w:sz="0" w:space="0" w:color="auto"/>
      </w:divBdr>
    </w:div>
    <w:div w:id="349453700">
      <w:bodyDiv w:val="1"/>
      <w:marLeft w:val="0"/>
      <w:marRight w:val="0"/>
      <w:marTop w:val="0"/>
      <w:marBottom w:val="0"/>
      <w:divBdr>
        <w:top w:val="none" w:sz="0" w:space="0" w:color="auto"/>
        <w:left w:val="none" w:sz="0" w:space="0" w:color="auto"/>
        <w:bottom w:val="none" w:sz="0" w:space="0" w:color="auto"/>
        <w:right w:val="none" w:sz="0" w:space="0" w:color="auto"/>
      </w:divBdr>
      <w:divsChild>
        <w:div w:id="179663047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2599576">
      <w:bodyDiv w:val="1"/>
      <w:marLeft w:val="0"/>
      <w:marRight w:val="0"/>
      <w:marTop w:val="0"/>
      <w:marBottom w:val="0"/>
      <w:divBdr>
        <w:top w:val="none" w:sz="0" w:space="0" w:color="auto"/>
        <w:left w:val="none" w:sz="0" w:space="0" w:color="auto"/>
        <w:bottom w:val="none" w:sz="0" w:space="0" w:color="auto"/>
        <w:right w:val="none" w:sz="0" w:space="0" w:color="auto"/>
      </w:divBdr>
    </w:div>
    <w:div w:id="529495412">
      <w:bodyDiv w:val="1"/>
      <w:marLeft w:val="0"/>
      <w:marRight w:val="0"/>
      <w:marTop w:val="0"/>
      <w:marBottom w:val="0"/>
      <w:divBdr>
        <w:top w:val="none" w:sz="0" w:space="0" w:color="auto"/>
        <w:left w:val="none" w:sz="0" w:space="0" w:color="auto"/>
        <w:bottom w:val="none" w:sz="0" w:space="0" w:color="auto"/>
        <w:right w:val="none" w:sz="0" w:space="0" w:color="auto"/>
      </w:divBdr>
    </w:div>
    <w:div w:id="739863109">
      <w:bodyDiv w:val="1"/>
      <w:marLeft w:val="0"/>
      <w:marRight w:val="0"/>
      <w:marTop w:val="0"/>
      <w:marBottom w:val="0"/>
      <w:divBdr>
        <w:top w:val="none" w:sz="0" w:space="0" w:color="auto"/>
        <w:left w:val="none" w:sz="0" w:space="0" w:color="auto"/>
        <w:bottom w:val="none" w:sz="0" w:space="0" w:color="auto"/>
        <w:right w:val="none" w:sz="0" w:space="0" w:color="auto"/>
      </w:divBdr>
    </w:div>
    <w:div w:id="805510785">
      <w:bodyDiv w:val="1"/>
      <w:marLeft w:val="0"/>
      <w:marRight w:val="0"/>
      <w:marTop w:val="0"/>
      <w:marBottom w:val="0"/>
      <w:divBdr>
        <w:top w:val="none" w:sz="0" w:space="0" w:color="auto"/>
        <w:left w:val="none" w:sz="0" w:space="0" w:color="auto"/>
        <w:bottom w:val="none" w:sz="0" w:space="0" w:color="auto"/>
        <w:right w:val="none" w:sz="0" w:space="0" w:color="auto"/>
      </w:divBdr>
    </w:div>
    <w:div w:id="863059943">
      <w:bodyDiv w:val="1"/>
      <w:marLeft w:val="0"/>
      <w:marRight w:val="0"/>
      <w:marTop w:val="0"/>
      <w:marBottom w:val="0"/>
      <w:divBdr>
        <w:top w:val="none" w:sz="0" w:space="0" w:color="auto"/>
        <w:left w:val="none" w:sz="0" w:space="0" w:color="auto"/>
        <w:bottom w:val="none" w:sz="0" w:space="0" w:color="auto"/>
        <w:right w:val="none" w:sz="0" w:space="0" w:color="auto"/>
      </w:divBdr>
    </w:div>
    <w:div w:id="865168770">
      <w:bodyDiv w:val="1"/>
      <w:marLeft w:val="0"/>
      <w:marRight w:val="0"/>
      <w:marTop w:val="0"/>
      <w:marBottom w:val="0"/>
      <w:divBdr>
        <w:top w:val="none" w:sz="0" w:space="0" w:color="auto"/>
        <w:left w:val="none" w:sz="0" w:space="0" w:color="auto"/>
        <w:bottom w:val="none" w:sz="0" w:space="0" w:color="auto"/>
        <w:right w:val="none" w:sz="0" w:space="0" w:color="auto"/>
      </w:divBdr>
    </w:div>
    <w:div w:id="956373512">
      <w:bodyDiv w:val="1"/>
      <w:marLeft w:val="0"/>
      <w:marRight w:val="0"/>
      <w:marTop w:val="0"/>
      <w:marBottom w:val="0"/>
      <w:divBdr>
        <w:top w:val="none" w:sz="0" w:space="0" w:color="auto"/>
        <w:left w:val="none" w:sz="0" w:space="0" w:color="auto"/>
        <w:bottom w:val="none" w:sz="0" w:space="0" w:color="auto"/>
        <w:right w:val="none" w:sz="0" w:space="0" w:color="auto"/>
      </w:divBdr>
    </w:div>
    <w:div w:id="1066948929">
      <w:bodyDiv w:val="1"/>
      <w:marLeft w:val="0"/>
      <w:marRight w:val="0"/>
      <w:marTop w:val="0"/>
      <w:marBottom w:val="0"/>
      <w:divBdr>
        <w:top w:val="none" w:sz="0" w:space="0" w:color="auto"/>
        <w:left w:val="none" w:sz="0" w:space="0" w:color="auto"/>
        <w:bottom w:val="none" w:sz="0" w:space="0" w:color="auto"/>
        <w:right w:val="none" w:sz="0" w:space="0" w:color="auto"/>
      </w:divBdr>
    </w:div>
    <w:div w:id="1073963697">
      <w:bodyDiv w:val="1"/>
      <w:marLeft w:val="0"/>
      <w:marRight w:val="0"/>
      <w:marTop w:val="0"/>
      <w:marBottom w:val="0"/>
      <w:divBdr>
        <w:top w:val="none" w:sz="0" w:space="0" w:color="auto"/>
        <w:left w:val="none" w:sz="0" w:space="0" w:color="auto"/>
        <w:bottom w:val="none" w:sz="0" w:space="0" w:color="auto"/>
        <w:right w:val="none" w:sz="0" w:space="0" w:color="auto"/>
      </w:divBdr>
    </w:div>
    <w:div w:id="1167012895">
      <w:bodyDiv w:val="1"/>
      <w:marLeft w:val="0"/>
      <w:marRight w:val="0"/>
      <w:marTop w:val="0"/>
      <w:marBottom w:val="0"/>
      <w:divBdr>
        <w:top w:val="none" w:sz="0" w:space="0" w:color="auto"/>
        <w:left w:val="none" w:sz="0" w:space="0" w:color="auto"/>
        <w:bottom w:val="none" w:sz="0" w:space="0" w:color="auto"/>
        <w:right w:val="none" w:sz="0" w:space="0" w:color="auto"/>
      </w:divBdr>
    </w:div>
    <w:div w:id="1184440293">
      <w:bodyDiv w:val="1"/>
      <w:marLeft w:val="0"/>
      <w:marRight w:val="0"/>
      <w:marTop w:val="0"/>
      <w:marBottom w:val="0"/>
      <w:divBdr>
        <w:top w:val="none" w:sz="0" w:space="0" w:color="auto"/>
        <w:left w:val="none" w:sz="0" w:space="0" w:color="auto"/>
        <w:bottom w:val="none" w:sz="0" w:space="0" w:color="auto"/>
        <w:right w:val="none" w:sz="0" w:space="0" w:color="auto"/>
      </w:divBdr>
    </w:div>
    <w:div w:id="1273511966">
      <w:bodyDiv w:val="1"/>
      <w:marLeft w:val="0"/>
      <w:marRight w:val="0"/>
      <w:marTop w:val="0"/>
      <w:marBottom w:val="0"/>
      <w:divBdr>
        <w:top w:val="none" w:sz="0" w:space="0" w:color="auto"/>
        <w:left w:val="none" w:sz="0" w:space="0" w:color="auto"/>
        <w:bottom w:val="none" w:sz="0" w:space="0" w:color="auto"/>
        <w:right w:val="none" w:sz="0" w:space="0" w:color="auto"/>
      </w:divBdr>
      <w:divsChild>
        <w:div w:id="9118144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07924058">
      <w:bodyDiv w:val="1"/>
      <w:marLeft w:val="0"/>
      <w:marRight w:val="0"/>
      <w:marTop w:val="0"/>
      <w:marBottom w:val="0"/>
      <w:divBdr>
        <w:top w:val="none" w:sz="0" w:space="0" w:color="auto"/>
        <w:left w:val="none" w:sz="0" w:space="0" w:color="auto"/>
        <w:bottom w:val="none" w:sz="0" w:space="0" w:color="auto"/>
        <w:right w:val="none" w:sz="0" w:space="0" w:color="auto"/>
      </w:divBdr>
    </w:div>
    <w:div w:id="1422262538">
      <w:bodyDiv w:val="1"/>
      <w:marLeft w:val="0"/>
      <w:marRight w:val="0"/>
      <w:marTop w:val="0"/>
      <w:marBottom w:val="0"/>
      <w:divBdr>
        <w:top w:val="none" w:sz="0" w:space="0" w:color="auto"/>
        <w:left w:val="none" w:sz="0" w:space="0" w:color="auto"/>
        <w:bottom w:val="none" w:sz="0" w:space="0" w:color="auto"/>
        <w:right w:val="none" w:sz="0" w:space="0" w:color="auto"/>
      </w:divBdr>
    </w:div>
    <w:div w:id="1566990672">
      <w:bodyDiv w:val="1"/>
      <w:marLeft w:val="0"/>
      <w:marRight w:val="0"/>
      <w:marTop w:val="0"/>
      <w:marBottom w:val="0"/>
      <w:divBdr>
        <w:top w:val="none" w:sz="0" w:space="0" w:color="auto"/>
        <w:left w:val="none" w:sz="0" w:space="0" w:color="auto"/>
        <w:bottom w:val="none" w:sz="0" w:space="0" w:color="auto"/>
        <w:right w:val="none" w:sz="0" w:space="0" w:color="auto"/>
      </w:divBdr>
    </w:div>
    <w:div w:id="1739282543">
      <w:bodyDiv w:val="1"/>
      <w:marLeft w:val="0"/>
      <w:marRight w:val="0"/>
      <w:marTop w:val="0"/>
      <w:marBottom w:val="0"/>
      <w:divBdr>
        <w:top w:val="none" w:sz="0" w:space="0" w:color="auto"/>
        <w:left w:val="none" w:sz="0" w:space="0" w:color="auto"/>
        <w:bottom w:val="none" w:sz="0" w:space="0" w:color="auto"/>
        <w:right w:val="none" w:sz="0" w:space="0" w:color="auto"/>
      </w:divBdr>
    </w:div>
    <w:div w:id="1821382273">
      <w:bodyDiv w:val="1"/>
      <w:marLeft w:val="0"/>
      <w:marRight w:val="0"/>
      <w:marTop w:val="0"/>
      <w:marBottom w:val="0"/>
      <w:divBdr>
        <w:top w:val="none" w:sz="0" w:space="0" w:color="auto"/>
        <w:left w:val="none" w:sz="0" w:space="0" w:color="auto"/>
        <w:bottom w:val="none" w:sz="0" w:space="0" w:color="auto"/>
        <w:right w:val="none" w:sz="0" w:space="0" w:color="auto"/>
      </w:divBdr>
    </w:div>
    <w:div w:id="1863517230">
      <w:bodyDiv w:val="1"/>
      <w:marLeft w:val="0"/>
      <w:marRight w:val="0"/>
      <w:marTop w:val="0"/>
      <w:marBottom w:val="0"/>
      <w:divBdr>
        <w:top w:val="none" w:sz="0" w:space="0" w:color="auto"/>
        <w:left w:val="none" w:sz="0" w:space="0" w:color="auto"/>
        <w:bottom w:val="none" w:sz="0" w:space="0" w:color="auto"/>
        <w:right w:val="none" w:sz="0" w:space="0" w:color="auto"/>
      </w:divBdr>
    </w:div>
    <w:div w:id="2045787444">
      <w:bodyDiv w:val="1"/>
      <w:marLeft w:val="0"/>
      <w:marRight w:val="0"/>
      <w:marTop w:val="0"/>
      <w:marBottom w:val="0"/>
      <w:divBdr>
        <w:top w:val="none" w:sz="0" w:space="0" w:color="auto"/>
        <w:left w:val="none" w:sz="0" w:space="0" w:color="auto"/>
        <w:bottom w:val="none" w:sz="0" w:space="0" w:color="auto"/>
        <w:right w:val="none" w:sz="0" w:space="0" w:color="auto"/>
      </w:divBdr>
    </w:div>
    <w:div w:id="2061974424">
      <w:bodyDiv w:val="1"/>
      <w:marLeft w:val="0"/>
      <w:marRight w:val="0"/>
      <w:marTop w:val="0"/>
      <w:marBottom w:val="0"/>
      <w:divBdr>
        <w:top w:val="none" w:sz="0" w:space="0" w:color="auto"/>
        <w:left w:val="none" w:sz="0" w:space="0" w:color="auto"/>
        <w:bottom w:val="none" w:sz="0" w:space="0" w:color="auto"/>
        <w:right w:val="none" w:sz="0" w:space="0" w:color="auto"/>
      </w:divBdr>
    </w:div>
    <w:div w:id="2067991661">
      <w:bodyDiv w:val="1"/>
      <w:marLeft w:val="0"/>
      <w:marRight w:val="0"/>
      <w:marTop w:val="0"/>
      <w:marBottom w:val="0"/>
      <w:divBdr>
        <w:top w:val="none" w:sz="0" w:space="0" w:color="auto"/>
        <w:left w:val="none" w:sz="0" w:space="0" w:color="auto"/>
        <w:bottom w:val="none" w:sz="0" w:space="0" w:color="auto"/>
        <w:right w:val="none" w:sz="0" w:space="0" w:color="auto"/>
      </w:divBdr>
    </w:div>
    <w:div w:id="21163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tl00$PagePlaceholder$Content$grdEvents','Sort$EventDate')" TargetMode="External"/><Relationship Id="rId13" Type="http://schemas.openxmlformats.org/officeDocument/2006/relationships/hyperlink" Target="javascript:__doPostBack('ctl00$ctl00$PagePlaceholder$Content$grdEvents','Sort$ProfitLos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javascript:__doPostBack('ctl00$ctl00$PagePlaceholder$Content$grdEvents','Sort$EventVenueName')" TargetMode="External"/><Relationship Id="rId12" Type="http://schemas.openxmlformats.org/officeDocument/2006/relationships/hyperlink" Target="javascript:__doPostBack('ctl00$ctl00$PagePlaceholder$Content$grdEvents','Sort$GrossExpendi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__doPostBack('ctl00$ctl00$PagePlaceholder$Content$grdEvents','Sort$NetProfitLoss')"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javascript:__doPostBack('ctl00$ctl00$PagePlaceholder$Content$grdEvents','Sort$EventName')" TargetMode="External"/><Relationship Id="rId11" Type="http://schemas.openxmlformats.org/officeDocument/2006/relationships/hyperlink" Target="javascript:__doPostBack('ctl00$ctl00$PagePlaceholder$Content$grdEvents','Sort$GrossIncome')" TargetMode="External"/><Relationship Id="rId5" Type="http://schemas.openxmlformats.org/officeDocument/2006/relationships/image" Target="media/image1.jpeg"/><Relationship Id="rId15" Type="http://schemas.openxmlformats.org/officeDocument/2006/relationships/hyperlink" Target="javascript:__doPostBack('ctl00$ctl00$PagePlaceholder$Content$grdEvents','Sort$NetExpenditure')" TargetMode="External"/><Relationship Id="rId10" Type="http://schemas.openxmlformats.org/officeDocument/2006/relationships/hyperlink" Target="javascript:__doPostBack('ctl00$ctl00$PagePlaceholder$Content$grdEvents','Sort$Attendee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javascript:__doPostBack('ctl00$ctl00$PagePlaceholder$Content$grdEvents','Sort$OCDesc')" TargetMode="External"/><Relationship Id="rId14" Type="http://schemas.openxmlformats.org/officeDocument/2006/relationships/hyperlink" Target="javascript:__doPostBack('ctl00$ctl00$PagePlaceholder$Content$grdEvents','Sort$NetIn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4" ma:contentTypeDescription="Create a new document." ma:contentTypeScope="" ma:versionID="00de7a517d44ae8499002a020ae52fb2">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9a77a030693648382a6d5cb1decfefcf"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486B8-CEAA-4145-848D-B299E3CA2266}"/>
</file>

<file path=customXml/itemProps2.xml><?xml version="1.0" encoding="utf-8"?>
<ds:datastoreItem xmlns:ds="http://schemas.openxmlformats.org/officeDocument/2006/customXml" ds:itemID="{5A6AADDA-D7E1-4D44-99FA-40FA01F9C798}"/>
</file>

<file path=customXml/itemProps3.xml><?xml version="1.0" encoding="utf-8"?>
<ds:datastoreItem xmlns:ds="http://schemas.openxmlformats.org/officeDocument/2006/customXml" ds:itemID="{3A746341-D6BD-4AB7-8672-82D9F3936AC1}"/>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Henry - ICU Finances and Services Deputy President</dc:creator>
  <cp:keywords/>
  <dc:description/>
  <cp:lastModifiedBy>Fi-Fi Henry - ICU Finances and Services Deputy President</cp:lastModifiedBy>
  <cp:revision>2</cp:revision>
  <dcterms:created xsi:type="dcterms:W3CDTF">2019-10-15T19:37:00Z</dcterms:created>
  <dcterms:modified xsi:type="dcterms:W3CDTF">2019-10-15T19:37:00Z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