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D2A1F" w14:textId="77777777" w:rsidR="000802ED" w:rsidRPr="00230674" w:rsidRDefault="00B873EB" w:rsidP="00B873EB">
      <w:pPr>
        <w:jc w:val="center"/>
      </w:pPr>
      <w:r w:rsidRPr="00230674">
        <w:rPr>
          <w:rFonts w:ascii="Arial" w:hAnsi="Arial" w:cs="Arial"/>
          <w:noProof/>
          <w:lang w:eastAsia="zh-CN"/>
        </w:rPr>
        <w:drawing>
          <wp:inline distT="0" distB="0" distL="0" distR="0" wp14:anchorId="104D2A36" wp14:editId="104D2A37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D2A20" w14:textId="77777777" w:rsidR="00B873EB" w:rsidRPr="00230674" w:rsidRDefault="00B873EB" w:rsidP="00B873EB">
      <w:pPr>
        <w:pStyle w:val="Default"/>
        <w:rPr>
          <w:color w:val="auto"/>
        </w:rPr>
      </w:pPr>
    </w:p>
    <w:p w14:paraId="104D2A21" w14:textId="77777777" w:rsidR="00B873EB" w:rsidRPr="00230674" w:rsidRDefault="00B873EB" w:rsidP="00B873EB">
      <w:pPr>
        <w:jc w:val="center"/>
        <w:rPr>
          <w:b/>
          <w:bCs/>
          <w:sz w:val="28"/>
          <w:szCs w:val="28"/>
        </w:rPr>
      </w:pPr>
      <w:r w:rsidRPr="00230674">
        <w:t xml:space="preserve"> </w:t>
      </w:r>
      <w:r w:rsidRPr="00230674">
        <w:rPr>
          <w:b/>
          <w:bCs/>
          <w:sz w:val="28"/>
          <w:szCs w:val="28"/>
        </w:rPr>
        <w:t xml:space="preserve">Imperial College Union </w:t>
      </w:r>
      <w:r w:rsidR="003C160A" w:rsidRPr="00230674">
        <w:rPr>
          <w:b/>
          <w:bCs/>
          <w:sz w:val="28"/>
          <w:szCs w:val="28"/>
        </w:rPr>
        <w:t>Board of Trustees</w:t>
      </w:r>
    </w:p>
    <w:p w14:paraId="104D2A22" w14:textId="06C953D2" w:rsidR="00B873EB" w:rsidRPr="00230674" w:rsidRDefault="00AB1F6B" w:rsidP="00B87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 Oct</w:t>
      </w:r>
      <w:r w:rsidR="00230674" w:rsidRPr="00230674">
        <w:rPr>
          <w:b/>
          <w:bCs/>
          <w:sz w:val="28"/>
          <w:szCs w:val="28"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230674" w:rsidRPr="00230674" w14:paraId="104D2A25" w14:textId="77777777" w:rsidTr="00B873EB">
        <w:trPr>
          <w:trHeight w:val="902"/>
        </w:trPr>
        <w:tc>
          <w:tcPr>
            <w:tcW w:w="4448" w:type="dxa"/>
          </w:tcPr>
          <w:p w14:paraId="104D2A23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AGENDA ITEM NO.</w:t>
            </w:r>
          </w:p>
        </w:tc>
        <w:tc>
          <w:tcPr>
            <w:tcW w:w="4448" w:type="dxa"/>
          </w:tcPr>
          <w:p w14:paraId="104D2A24" w14:textId="77777777" w:rsidR="00B873EB" w:rsidRPr="00230674" w:rsidRDefault="00B873EB" w:rsidP="00B873EB">
            <w:pPr>
              <w:jc w:val="center"/>
            </w:pPr>
          </w:p>
        </w:tc>
      </w:tr>
      <w:tr w:rsidR="00230674" w:rsidRPr="00230674" w14:paraId="104D2A28" w14:textId="77777777" w:rsidTr="00B873EB">
        <w:trPr>
          <w:trHeight w:val="943"/>
        </w:trPr>
        <w:tc>
          <w:tcPr>
            <w:tcW w:w="4448" w:type="dxa"/>
          </w:tcPr>
          <w:p w14:paraId="104D2A26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4448" w:type="dxa"/>
          </w:tcPr>
          <w:p w14:paraId="104D2A27" w14:textId="6477B62F" w:rsidR="00B873EB" w:rsidRPr="00230674" w:rsidRDefault="00B1712A" w:rsidP="00B873EB">
            <w:pPr>
              <w:jc w:val="center"/>
            </w:pPr>
            <w:r>
              <w:t xml:space="preserve">2020+ </w:t>
            </w:r>
            <w:r w:rsidR="00AB1F6B">
              <w:t>S</w:t>
            </w:r>
            <w:r w:rsidR="003C51AF">
              <w:t>trategy</w:t>
            </w:r>
            <w:r>
              <w:t xml:space="preserve"> Paper</w:t>
            </w:r>
          </w:p>
        </w:tc>
      </w:tr>
      <w:tr w:rsidR="00230674" w:rsidRPr="00230674" w14:paraId="104D2A2B" w14:textId="77777777" w:rsidTr="00B873EB">
        <w:trPr>
          <w:trHeight w:val="902"/>
        </w:trPr>
        <w:tc>
          <w:tcPr>
            <w:tcW w:w="4448" w:type="dxa"/>
          </w:tcPr>
          <w:p w14:paraId="104D2A29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AUTHOR</w:t>
            </w:r>
          </w:p>
        </w:tc>
        <w:tc>
          <w:tcPr>
            <w:tcW w:w="4448" w:type="dxa"/>
          </w:tcPr>
          <w:p w14:paraId="104D2A2A" w14:textId="3C847AB0" w:rsidR="00B873EB" w:rsidRPr="00230674" w:rsidRDefault="00CE2D5C" w:rsidP="00B873EB">
            <w:pPr>
              <w:jc w:val="center"/>
            </w:pPr>
            <w:r>
              <w:t>Abhijay Sood, Lloyd James</w:t>
            </w:r>
            <w:r w:rsidR="001A1424">
              <w:t xml:space="preserve"> and</w:t>
            </w:r>
            <w:r>
              <w:t xml:space="preserve"> </w:t>
            </w:r>
            <w:r w:rsidR="00230674" w:rsidRPr="00230674">
              <w:t>Jarlath O’Hara</w:t>
            </w:r>
          </w:p>
        </w:tc>
      </w:tr>
      <w:tr w:rsidR="00230674" w:rsidRPr="00230674" w14:paraId="104D2A2E" w14:textId="77777777" w:rsidTr="00B873EB">
        <w:trPr>
          <w:trHeight w:val="943"/>
        </w:trPr>
        <w:tc>
          <w:tcPr>
            <w:tcW w:w="4448" w:type="dxa"/>
          </w:tcPr>
          <w:p w14:paraId="104D2A2C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EXECUTIVE SUMMARY</w:t>
            </w:r>
          </w:p>
        </w:tc>
        <w:tc>
          <w:tcPr>
            <w:tcW w:w="4448" w:type="dxa"/>
          </w:tcPr>
          <w:p w14:paraId="104D2A2D" w14:textId="40F39C11" w:rsidR="00B873EB" w:rsidRPr="00230674" w:rsidRDefault="00A804A2" w:rsidP="00B873EB">
            <w:pPr>
              <w:jc w:val="center"/>
            </w:pPr>
            <w:r>
              <w:t>We outline the proposed process</w:t>
            </w:r>
            <w:r w:rsidR="00B1712A">
              <w:t xml:space="preserve"> to </w:t>
            </w:r>
            <w:r w:rsidR="003C48E1">
              <w:t>developing our new strategy</w:t>
            </w:r>
            <w:r w:rsidR="007E1BAA">
              <w:t>. This</w:t>
            </w:r>
            <w:r>
              <w:t xml:space="preserve"> includ</w:t>
            </w:r>
            <w:r w:rsidR="007E1BAA">
              <w:t>es</w:t>
            </w:r>
            <w:r w:rsidR="00CF2A22">
              <w:t xml:space="preserve"> the overarching approach, the formation of</w:t>
            </w:r>
            <w:r w:rsidR="007E1BAA">
              <w:t xml:space="preserve"> three</w:t>
            </w:r>
            <w:r w:rsidR="00CF2A22">
              <w:t xml:space="preserve"> subgroups</w:t>
            </w:r>
            <w:r w:rsidR="007E1BAA">
              <w:t xml:space="preserve"> (Core strategy, College Funding and Consultation) </w:t>
            </w:r>
            <w:r w:rsidR="00CF2A22">
              <w:t>and consultation timeline</w:t>
            </w:r>
          </w:p>
        </w:tc>
      </w:tr>
      <w:tr w:rsidR="00230674" w:rsidRPr="00230674" w14:paraId="104D2A31" w14:textId="77777777" w:rsidTr="00B873EB">
        <w:trPr>
          <w:trHeight w:val="902"/>
        </w:trPr>
        <w:tc>
          <w:tcPr>
            <w:tcW w:w="4448" w:type="dxa"/>
          </w:tcPr>
          <w:p w14:paraId="104D2A2F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4448" w:type="dxa"/>
          </w:tcPr>
          <w:p w14:paraId="104D2A30" w14:textId="4550335C" w:rsidR="00B873EB" w:rsidRPr="00230674" w:rsidRDefault="005F6D57" w:rsidP="00B873EB">
            <w:pPr>
              <w:jc w:val="center"/>
            </w:pPr>
            <w:r>
              <w:t xml:space="preserve">To update board and gain support for the </w:t>
            </w:r>
            <w:r w:rsidR="00BB794C">
              <w:t>next steps of strategy development.</w:t>
            </w:r>
          </w:p>
        </w:tc>
      </w:tr>
      <w:tr w:rsidR="00230674" w:rsidRPr="00230674" w14:paraId="104D2A34" w14:textId="77777777" w:rsidTr="00B873EB">
        <w:trPr>
          <w:trHeight w:val="902"/>
        </w:trPr>
        <w:tc>
          <w:tcPr>
            <w:tcW w:w="4448" w:type="dxa"/>
          </w:tcPr>
          <w:p w14:paraId="104D2A32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DECISION/ACTION REQUIRED</w:t>
            </w:r>
          </w:p>
        </w:tc>
        <w:tc>
          <w:tcPr>
            <w:tcW w:w="4448" w:type="dxa"/>
          </w:tcPr>
          <w:p w14:paraId="104D2A33" w14:textId="30CF313B" w:rsidR="00B873EB" w:rsidRPr="00230674" w:rsidRDefault="00230DE9" w:rsidP="00B873EB">
            <w:pPr>
              <w:jc w:val="center"/>
            </w:pPr>
            <w:r>
              <w:t xml:space="preserve">Board support for the </w:t>
            </w:r>
            <w:r w:rsidR="00373956">
              <w:t xml:space="preserve">process: Approach; Subgroups; and </w:t>
            </w:r>
            <w:r w:rsidR="005F6D57">
              <w:t>Consultation</w:t>
            </w:r>
            <w:r w:rsidR="00BB794C">
              <w:t>.</w:t>
            </w:r>
          </w:p>
        </w:tc>
      </w:tr>
    </w:tbl>
    <w:p w14:paraId="104D2A35" w14:textId="33169498" w:rsidR="00151CD6" w:rsidRDefault="00151CD6" w:rsidP="00B873EB">
      <w:pPr>
        <w:jc w:val="center"/>
        <w:rPr>
          <w:color w:val="FF0000"/>
        </w:rPr>
      </w:pPr>
    </w:p>
    <w:p w14:paraId="044F5075" w14:textId="77777777" w:rsidR="00151CD6" w:rsidRDefault="00151CD6">
      <w:pPr>
        <w:rPr>
          <w:color w:val="FF0000"/>
        </w:rPr>
      </w:pPr>
      <w:r>
        <w:rPr>
          <w:color w:val="FF0000"/>
        </w:rPr>
        <w:br w:type="page"/>
      </w:r>
    </w:p>
    <w:p w14:paraId="61C3E074" w14:textId="0CA34AC9" w:rsidR="00451E0E" w:rsidRPr="00BB794C" w:rsidRDefault="00BB794C" w:rsidP="00BB794C">
      <w:pPr>
        <w:pStyle w:val="Heading1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Union </w:t>
      </w:r>
      <w:r w:rsidRPr="00BB794C">
        <w:rPr>
          <w:b/>
          <w:u w:val="single"/>
        </w:rPr>
        <w:t>2020+ Strategy Paper</w:t>
      </w:r>
    </w:p>
    <w:p w14:paraId="5B971D42" w14:textId="77777777" w:rsidR="00D71E89" w:rsidRDefault="00D71E89" w:rsidP="00645A43">
      <w:pPr>
        <w:rPr>
          <w:b/>
        </w:rPr>
      </w:pPr>
    </w:p>
    <w:p w14:paraId="66827F87" w14:textId="1BDF2B91" w:rsidR="00451E0E" w:rsidRPr="00645A43" w:rsidRDefault="00451E0E" w:rsidP="00645A43">
      <w:pPr>
        <w:rPr>
          <w:b/>
        </w:rPr>
      </w:pPr>
      <w:r w:rsidRPr="00645A43">
        <w:rPr>
          <w:b/>
        </w:rPr>
        <w:t>Background</w:t>
      </w:r>
    </w:p>
    <w:p w14:paraId="6CC1785F" w14:textId="77777777" w:rsidR="009F789F" w:rsidRDefault="009F789F" w:rsidP="009F789F">
      <w:r>
        <w:t>The Union’s 2020+ strategy will play a key role in setting the direction for the whole organisation, for our Board and governance structures and for our staff and students. This comes at a critical time when resources are stretched and clarity of vision and prioritisation of projects and initiatives is required.</w:t>
      </w:r>
    </w:p>
    <w:p w14:paraId="6670354E" w14:textId="3BCF116D" w:rsidR="00A31E65" w:rsidRDefault="00A31E65" w:rsidP="00A31E65">
      <w:pPr>
        <w:spacing w:after="0"/>
      </w:pPr>
      <w:r>
        <w:t>A strategy is formulated by considering:</w:t>
      </w:r>
    </w:p>
    <w:p w14:paraId="79B9E71F" w14:textId="77777777" w:rsidR="00A31E65" w:rsidRDefault="00A31E65" w:rsidP="000A659F">
      <w:pPr>
        <w:pStyle w:val="ListParagraph"/>
        <w:numPr>
          <w:ilvl w:val="0"/>
          <w:numId w:val="4"/>
        </w:numPr>
        <w:spacing w:after="0"/>
      </w:pPr>
      <w:r>
        <w:t>Where are we now?</w:t>
      </w:r>
    </w:p>
    <w:p w14:paraId="6BE47EC7" w14:textId="77777777" w:rsidR="00A31E65" w:rsidRDefault="00A31E65" w:rsidP="000A659F">
      <w:pPr>
        <w:pStyle w:val="ListParagraph"/>
        <w:numPr>
          <w:ilvl w:val="0"/>
          <w:numId w:val="4"/>
        </w:numPr>
        <w:spacing w:after="0"/>
      </w:pPr>
      <w:r>
        <w:t>Where do we want to be (in 3 years)?</w:t>
      </w:r>
    </w:p>
    <w:p w14:paraId="37E09580" w14:textId="02BFC4D0" w:rsidR="00A31E65" w:rsidRDefault="00A7030E" w:rsidP="000A659F">
      <w:pPr>
        <w:pStyle w:val="ListParagraph"/>
        <w:numPr>
          <w:ilvl w:val="0"/>
          <w:numId w:val="4"/>
        </w:numPr>
        <w:spacing w:after="0"/>
      </w:pPr>
      <w:r>
        <w:t xml:space="preserve">What choices we will make on how to </w:t>
      </w:r>
      <w:r w:rsidR="00A31E65">
        <w:t>get there?</w:t>
      </w:r>
    </w:p>
    <w:p w14:paraId="11EE05DB" w14:textId="0C5B2F53" w:rsidR="00D96B10" w:rsidRDefault="00D96B10" w:rsidP="00D96B10">
      <w:pPr>
        <w:spacing w:after="0"/>
      </w:pPr>
    </w:p>
    <w:p w14:paraId="1CAE2504" w14:textId="2EC3A981" w:rsidR="00CA0B3C" w:rsidRDefault="00654252" w:rsidP="00CA0B3C">
      <w:pPr>
        <w:spacing w:after="0"/>
      </w:pPr>
      <w:r>
        <w:t xml:space="preserve">We have considered the strengths and weaknesses of both </w:t>
      </w:r>
      <w:hyperlink r:id="rId12" w:history="1">
        <w:r w:rsidR="0093785C" w:rsidRPr="00361C23">
          <w:rPr>
            <w:rStyle w:val="Hyperlink"/>
            <w:i/>
          </w:rPr>
          <w:t>Ou</w:t>
        </w:r>
        <w:r w:rsidR="00361C23" w:rsidRPr="00361C23">
          <w:rPr>
            <w:rStyle w:val="Hyperlink"/>
            <w:i/>
          </w:rPr>
          <w:t>r Plan 2013-16</w:t>
        </w:r>
      </w:hyperlink>
      <w:r w:rsidR="00B13541">
        <w:t xml:space="preserve"> and </w:t>
      </w:r>
      <w:hyperlink r:id="rId13" w:history="1">
        <w:r w:rsidR="00B13541" w:rsidRPr="00B13541">
          <w:rPr>
            <w:rStyle w:val="Hyperlink"/>
            <w:i/>
          </w:rPr>
          <w:t>Our Strategy 2017-20</w:t>
        </w:r>
      </w:hyperlink>
      <w:r w:rsidR="00361C23">
        <w:rPr>
          <w:i/>
        </w:rPr>
        <w:t xml:space="preserve"> </w:t>
      </w:r>
      <w:r w:rsidR="00361C23">
        <w:t xml:space="preserve">and our approach </w:t>
      </w:r>
      <w:r w:rsidR="00171C63">
        <w:t>seeks to incorporate the best aspects of each as well as adding additional</w:t>
      </w:r>
      <w:r w:rsidR="002C596B">
        <w:t xml:space="preserve"> con</w:t>
      </w:r>
      <w:r w:rsidR="00DD4B24">
        <w:t>cepts</w:t>
      </w:r>
      <w:r w:rsidR="002C596B">
        <w:t>.</w:t>
      </w:r>
    </w:p>
    <w:p w14:paraId="1D588E19" w14:textId="77777777" w:rsidR="00CA0B3C" w:rsidRDefault="00CA0B3C" w:rsidP="00CA0B3C">
      <w:pPr>
        <w:spacing w:after="0"/>
      </w:pPr>
    </w:p>
    <w:p w14:paraId="4BD84917" w14:textId="77777777" w:rsidR="000A659F" w:rsidRDefault="00695602" w:rsidP="00CA0B3C">
      <w:pPr>
        <w:spacing w:after="0"/>
      </w:pPr>
      <w:r>
        <w:t>K</w:t>
      </w:r>
      <w:r w:rsidR="005F24CC">
        <w:t>ey consideration</w:t>
      </w:r>
      <w:r>
        <w:t>s are</w:t>
      </w:r>
      <w:r w:rsidR="002B118B">
        <w:t xml:space="preserve"> to have</w:t>
      </w:r>
      <w:r w:rsidR="000A659F">
        <w:t>:</w:t>
      </w:r>
    </w:p>
    <w:p w14:paraId="08B3F7E9" w14:textId="77777777" w:rsidR="000A659F" w:rsidRDefault="000A659F" w:rsidP="000A659F">
      <w:pPr>
        <w:pStyle w:val="ListParagraph"/>
        <w:numPr>
          <w:ilvl w:val="0"/>
          <w:numId w:val="3"/>
        </w:numPr>
        <w:spacing w:after="0"/>
      </w:pPr>
      <w:r>
        <w:t>A</w:t>
      </w:r>
      <w:r w:rsidR="002B118B">
        <w:t xml:space="preserve"> Vision that assists with decision making</w:t>
      </w:r>
    </w:p>
    <w:p w14:paraId="0786BC5F" w14:textId="3F975C9F" w:rsidR="006E3184" w:rsidRDefault="002B118B" w:rsidP="000A659F">
      <w:pPr>
        <w:pStyle w:val="ListParagraph"/>
        <w:numPr>
          <w:ilvl w:val="0"/>
          <w:numId w:val="3"/>
        </w:numPr>
        <w:spacing w:after="0"/>
      </w:pPr>
      <w:r>
        <w:t>SMART objectives</w:t>
      </w:r>
      <w:r w:rsidR="00CA0B3C">
        <w:t xml:space="preserve"> which are clear how we will measure success</w:t>
      </w:r>
    </w:p>
    <w:p w14:paraId="2CC91422" w14:textId="6D7032FA" w:rsidR="00E04723" w:rsidRDefault="00E04723" w:rsidP="000A659F">
      <w:pPr>
        <w:pStyle w:val="ListParagraph"/>
        <w:numPr>
          <w:ilvl w:val="0"/>
          <w:numId w:val="3"/>
        </w:numPr>
        <w:spacing w:after="0"/>
      </w:pPr>
      <w:r>
        <w:t>A strategy that remains relevant throughout its lifecycle</w:t>
      </w:r>
    </w:p>
    <w:p w14:paraId="0E84ED78" w14:textId="4C1D7948" w:rsidR="00D93D8F" w:rsidRDefault="00D93D8F" w:rsidP="000A659F">
      <w:pPr>
        <w:pStyle w:val="ListParagraph"/>
        <w:numPr>
          <w:ilvl w:val="0"/>
          <w:numId w:val="3"/>
        </w:numPr>
        <w:spacing w:after="0"/>
      </w:pPr>
      <w:r>
        <w:t>How we will know</w:t>
      </w:r>
      <w:r w:rsidR="006A7D79">
        <w:t xml:space="preserve"> if we are ‘there’</w:t>
      </w:r>
      <w:r w:rsidR="00DF1B21">
        <w:t xml:space="preserve"> – tangible aims</w:t>
      </w:r>
    </w:p>
    <w:p w14:paraId="522EB4ED" w14:textId="76BF4ABB" w:rsidR="00A35B83" w:rsidRDefault="00A35B83" w:rsidP="00451E0E"/>
    <w:p w14:paraId="757BD8BE" w14:textId="0C02E7C7" w:rsidR="00451E0E" w:rsidRPr="00645A43" w:rsidRDefault="00451E0E" w:rsidP="00645A43">
      <w:pPr>
        <w:rPr>
          <w:b/>
        </w:rPr>
      </w:pPr>
      <w:r w:rsidRPr="00645A43">
        <w:rPr>
          <w:b/>
        </w:rPr>
        <w:t>Our suggested approach</w:t>
      </w:r>
    </w:p>
    <w:p w14:paraId="6FCDA30F" w14:textId="55A06511" w:rsidR="00E63534" w:rsidRDefault="00E63534" w:rsidP="00E63534">
      <w:pPr>
        <w:spacing w:after="0"/>
      </w:pPr>
      <w:r>
        <w:t>By the end of the new strategy, w</w:t>
      </w:r>
      <w:r w:rsidR="00D519C8">
        <w:t xml:space="preserve">e want to have made a </w:t>
      </w:r>
      <w:r w:rsidR="00D519C8" w:rsidRPr="00D519C8">
        <w:rPr>
          <w:i/>
        </w:rPr>
        <w:t>discontinuous leap</w:t>
      </w:r>
      <w:r w:rsidR="00D519C8">
        <w:t xml:space="preserve"> in performance towards our vision.</w:t>
      </w:r>
    </w:p>
    <w:p w14:paraId="05521D9D" w14:textId="77777777" w:rsidR="00E370DB" w:rsidRDefault="00E370DB" w:rsidP="00E63534">
      <w:pPr>
        <w:spacing w:after="0"/>
      </w:pPr>
    </w:p>
    <w:p w14:paraId="15904BCA" w14:textId="053FB88A" w:rsidR="00451E0E" w:rsidRDefault="00DD4B24" w:rsidP="00E63534">
      <w:pPr>
        <w:spacing w:after="0"/>
      </w:pPr>
      <w:r>
        <w:t xml:space="preserve">As stated above, greater </w:t>
      </w:r>
      <w:r w:rsidR="00A62293">
        <w:t>clarity and alignment of our direction and objectives with our performance management metrics is required</w:t>
      </w:r>
      <w:r w:rsidR="00AA2E17">
        <w:t>.</w:t>
      </w:r>
      <w:r w:rsidR="00D005A3">
        <w:t xml:space="preserve"> We propose b</w:t>
      </w:r>
      <w:r w:rsidR="00AA2E17">
        <w:t>uilding on our existing Balanced Scorecard and the work of Kaplan and Norton</w:t>
      </w:r>
      <w:r w:rsidR="00E370DB">
        <w:t xml:space="preserve"> (1996)</w:t>
      </w:r>
      <w:r w:rsidR="003C77AE">
        <w:rPr>
          <w:rStyle w:val="FootnoteReference"/>
        </w:rPr>
        <w:footnoteReference w:id="1"/>
      </w:r>
      <w:r w:rsidR="00D005A3">
        <w:t xml:space="preserve"> to determine</w:t>
      </w:r>
      <w:r w:rsidR="0052632E">
        <w:t xml:space="preserve"> metrics for where we are now and where we want to be</w:t>
      </w:r>
      <w:r w:rsidR="002E24A5">
        <w:t xml:space="preserve"> by 2023.</w:t>
      </w:r>
      <w:r w:rsidR="00AA427C">
        <w:t xml:space="preserve"> To achieve this, we propose:</w:t>
      </w:r>
    </w:p>
    <w:p w14:paraId="2C508BE1" w14:textId="29B28E26" w:rsidR="00E63534" w:rsidRDefault="00E63534" w:rsidP="00451E0E"/>
    <w:p w14:paraId="3038AEE5" w14:textId="77777777" w:rsidR="00E84F08" w:rsidRDefault="00E84F08" w:rsidP="001978ED">
      <w:pPr>
        <w:pStyle w:val="ListParagraph"/>
        <w:numPr>
          <w:ilvl w:val="0"/>
          <w:numId w:val="5"/>
        </w:numPr>
        <w:spacing w:after="0"/>
      </w:pPr>
      <w:r>
        <w:t xml:space="preserve">Our strategic objectives must be measured against a balanced scorecard composed of </w:t>
      </w:r>
      <w:r w:rsidRPr="001978ED">
        <w:rPr>
          <w:b/>
        </w:rPr>
        <w:t>metrics that are *strategic* rather than *diagnostic*.</w:t>
      </w:r>
    </w:p>
    <w:p w14:paraId="099A58CB" w14:textId="77777777" w:rsidR="00E84F08" w:rsidRDefault="00E84F08" w:rsidP="001978ED">
      <w:pPr>
        <w:pStyle w:val="ListParagraph"/>
        <w:numPr>
          <w:ilvl w:val="1"/>
          <w:numId w:val="5"/>
        </w:numPr>
        <w:spacing w:after="0"/>
      </w:pPr>
      <w:r>
        <w:t>Diagnostic metrics – things we want to make sure we aren’t losing sight of operationally – should be tracked separately/alongside strategic metrics.</w:t>
      </w:r>
    </w:p>
    <w:p w14:paraId="014D0FCF" w14:textId="77777777" w:rsidR="00E84F08" w:rsidRDefault="00E84F08" w:rsidP="001978ED">
      <w:pPr>
        <w:pStyle w:val="ListParagraph"/>
        <w:numPr>
          <w:ilvl w:val="0"/>
          <w:numId w:val="5"/>
        </w:numPr>
        <w:spacing w:after="0"/>
      </w:pPr>
      <w:r>
        <w:t xml:space="preserve">Metrics should be a </w:t>
      </w:r>
      <w:r w:rsidRPr="001978ED">
        <w:rPr>
          <w:b/>
        </w:rPr>
        <w:t>mix of lagging (outcome-) and leading (performance driving-) indicators</w:t>
      </w:r>
    </w:p>
    <w:p w14:paraId="04642430" w14:textId="77777777" w:rsidR="00E84F08" w:rsidRDefault="00E84F08" w:rsidP="001978ED">
      <w:pPr>
        <w:pStyle w:val="ListParagraph"/>
        <w:numPr>
          <w:ilvl w:val="0"/>
          <w:numId w:val="5"/>
        </w:numPr>
        <w:spacing w:after="0"/>
      </w:pPr>
      <w:r>
        <w:t xml:space="preserve">Metrics should be selected in </w:t>
      </w:r>
      <w:r w:rsidRPr="001978ED">
        <w:rPr>
          <w:b/>
        </w:rPr>
        <w:t>consultation with all relevant stakeholders</w:t>
      </w:r>
      <w:r>
        <w:t xml:space="preserve"> to ensure they’re realistic, appropriate, and don’t create perverse incentives.</w:t>
      </w:r>
    </w:p>
    <w:p w14:paraId="10CCEA75" w14:textId="77777777" w:rsidR="00E84F08" w:rsidRDefault="00E84F08" w:rsidP="00460BAA">
      <w:pPr>
        <w:pStyle w:val="ListParagraph"/>
        <w:numPr>
          <w:ilvl w:val="0"/>
          <w:numId w:val="5"/>
        </w:numPr>
        <w:spacing w:after="0"/>
      </w:pPr>
      <w:r>
        <w:t>Each of these strategic objectives must have year-to-year milestones so we know whether we are on track.</w:t>
      </w:r>
    </w:p>
    <w:p w14:paraId="204B3F23" w14:textId="77777777" w:rsidR="00E84F08" w:rsidRDefault="00E84F08" w:rsidP="00460BAA">
      <w:pPr>
        <w:pStyle w:val="ListParagraph"/>
        <w:numPr>
          <w:ilvl w:val="0"/>
          <w:numId w:val="5"/>
        </w:numPr>
        <w:spacing w:after="0"/>
      </w:pPr>
      <w:r>
        <w:lastRenderedPageBreak/>
        <w:t>The balanced scorecard should highlight the cause and effect relations between metrics, and therein provide a visual representation of our strategy.</w:t>
      </w:r>
    </w:p>
    <w:p w14:paraId="01C1F7DE" w14:textId="77777777" w:rsidR="00E84F08" w:rsidRDefault="00E84F08" w:rsidP="00460BAA">
      <w:pPr>
        <w:pStyle w:val="ListParagraph"/>
        <w:numPr>
          <w:ilvl w:val="0"/>
          <w:numId w:val="5"/>
        </w:numPr>
        <w:spacing w:after="0"/>
      </w:pPr>
      <w:r>
        <w:t>The balanced scorecard should be communicated to all staff, clearly and prominently. They should be able to identify their place in the strategy and formulate personal / team goals towards achieving the strategic objectives.</w:t>
      </w:r>
    </w:p>
    <w:p w14:paraId="42040B77" w14:textId="77777777" w:rsidR="00E84F08" w:rsidRDefault="00E84F08" w:rsidP="00451E0E"/>
    <w:p w14:paraId="1C7B7519" w14:textId="2399DFAB" w:rsidR="00A86E34" w:rsidRDefault="006860E2" w:rsidP="00A86E34">
      <w:r>
        <w:t>Adapting the Kaplan and Norton model for a commercial</w:t>
      </w:r>
      <w:r w:rsidR="0010473F">
        <w:t xml:space="preserve"> organisation, </w:t>
      </w:r>
      <w:r w:rsidR="00A86E34">
        <w:t>we</w:t>
      </w:r>
      <w:r w:rsidR="00A86E34" w:rsidRPr="068D64BC">
        <w:t xml:space="preserve"> identif</w:t>
      </w:r>
      <w:r w:rsidR="00A86E34">
        <w:t>y</w:t>
      </w:r>
      <w:r w:rsidR="00A86E34" w:rsidRPr="068D64BC">
        <w:t xml:space="preserve"> the value chain by which ICU delivers an improved student experience.</w:t>
      </w:r>
      <w:r w:rsidR="00A86E34">
        <w:t xml:space="preserve"> The exact headings here are just suggestions, but we </w:t>
      </w:r>
      <w:r w:rsidR="001C5216">
        <w:t>propose</w:t>
      </w:r>
      <w:r w:rsidR="00A86E34">
        <w:t xml:space="preserve"> adopting a strategy and scorecard in line with this format.</w:t>
      </w:r>
    </w:p>
    <w:p w14:paraId="0469E024" w14:textId="2D375B2C" w:rsidR="00451E0E" w:rsidRDefault="00451E0E" w:rsidP="00451E0E"/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910"/>
      </w:tblGrid>
      <w:tr w:rsidR="00CE3FA7" w14:paraId="6D964A96" w14:textId="77777777" w:rsidTr="00E21B9C">
        <w:trPr>
          <w:jc w:val="center"/>
        </w:trPr>
        <w:tc>
          <w:tcPr>
            <w:tcW w:w="2910" w:type="dxa"/>
          </w:tcPr>
          <w:p w14:paraId="67BD8B4F" w14:textId="77777777" w:rsidR="00CE3FA7" w:rsidRDefault="00CE3FA7" w:rsidP="00E21B9C">
            <w:pPr>
              <w:jc w:val="center"/>
            </w:pPr>
            <w:r>
              <w:t>Student Experience</w:t>
            </w:r>
          </w:p>
        </w:tc>
      </w:tr>
      <w:tr w:rsidR="00CE3FA7" w14:paraId="6D1A14D4" w14:textId="77777777" w:rsidTr="00E21B9C">
        <w:trPr>
          <w:jc w:val="center"/>
        </w:trPr>
        <w:tc>
          <w:tcPr>
            <w:tcW w:w="2910" w:type="dxa"/>
          </w:tcPr>
          <w:p w14:paraId="39B8441E" w14:textId="77777777" w:rsidR="00CE3FA7" w:rsidRDefault="00CE3FA7" w:rsidP="00E21B9C">
            <w:pPr>
              <w:jc w:val="center"/>
            </w:pPr>
            <w:r w:rsidRPr="068D64BC">
              <w:rPr>
                <w:rFonts w:ascii="Arial" w:eastAsia="Arial" w:hAnsi="Arial" w:cs="Arial"/>
                <w:color w:val="222222"/>
                <w:sz w:val="24"/>
                <w:szCs w:val="24"/>
              </w:rPr>
              <w:t>↑</w:t>
            </w:r>
          </w:p>
        </w:tc>
      </w:tr>
      <w:tr w:rsidR="00CE3FA7" w14:paraId="7267C29B" w14:textId="77777777" w:rsidTr="00E21B9C">
        <w:trPr>
          <w:jc w:val="center"/>
        </w:trPr>
        <w:tc>
          <w:tcPr>
            <w:tcW w:w="2910" w:type="dxa"/>
          </w:tcPr>
          <w:p w14:paraId="1C9DF25E" w14:textId="77777777" w:rsidR="00CE3FA7" w:rsidRDefault="00CE3FA7" w:rsidP="00E21B9C">
            <w:pPr>
              <w:jc w:val="center"/>
            </w:pPr>
            <w:r>
              <w:t>Student Voice</w:t>
            </w:r>
          </w:p>
        </w:tc>
      </w:tr>
      <w:tr w:rsidR="00CE3FA7" w14:paraId="04406FC9" w14:textId="77777777" w:rsidTr="00E21B9C">
        <w:trPr>
          <w:jc w:val="center"/>
        </w:trPr>
        <w:tc>
          <w:tcPr>
            <w:tcW w:w="2910" w:type="dxa"/>
          </w:tcPr>
          <w:p w14:paraId="11A1B8EF" w14:textId="77777777" w:rsidR="00CE3FA7" w:rsidRDefault="00CE3FA7" w:rsidP="00E21B9C">
            <w:pPr>
              <w:jc w:val="center"/>
            </w:pPr>
            <w:r w:rsidRPr="068D64BC">
              <w:rPr>
                <w:rFonts w:ascii="Arial" w:eastAsia="Arial" w:hAnsi="Arial" w:cs="Arial"/>
                <w:color w:val="222222"/>
                <w:sz w:val="24"/>
                <w:szCs w:val="24"/>
              </w:rPr>
              <w:t>↑</w:t>
            </w:r>
          </w:p>
        </w:tc>
      </w:tr>
      <w:tr w:rsidR="00CE3FA7" w14:paraId="0E7869E8" w14:textId="77777777" w:rsidTr="00E21B9C">
        <w:trPr>
          <w:jc w:val="center"/>
        </w:trPr>
        <w:tc>
          <w:tcPr>
            <w:tcW w:w="2910" w:type="dxa"/>
          </w:tcPr>
          <w:p w14:paraId="370D2605" w14:textId="77777777" w:rsidR="00CE3FA7" w:rsidRDefault="00CE3FA7" w:rsidP="00E21B9C">
            <w:pPr>
              <w:jc w:val="center"/>
            </w:pPr>
            <w:r>
              <w:t>Student Development &amp; Engagement</w:t>
            </w:r>
          </w:p>
        </w:tc>
      </w:tr>
      <w:tr w:rsidR="00CE3FA7" w14:paraId="217D6081" w14:textId="77777777" w:rsidTr="00E21B9C">
        <w:trPr>
          <w:jc w:val="center"/>
        </w:trPr>
        <w:tc>
          <w:tcPr>
            <w:tcW w:w="2910" w:type="dxa"/>
          </w:tcPr>
          <w:p w14:paraId="3C83A5D3" w14:textId="77777777" w:rsidR="00CE3FA7" w:rsidRDefault="00CE3FA7" w:rsidP="00E21B9C">
            <w:pPr>
              <w:jc w:val="center"/>
            </w:pPr>
            <w:r w:rsidRPr="068D64BC">
              <w:rPr>
                <w:rFonts w:ascii="Arial" w:eastAsia="Arial" w:hAnsi="Arial" w:cs="Arial"/>
                <w:color w:val="222222"/>
                <w:sz w:val="24"/>
                <w:szCs w:val="24"/>
              </w:rPr>
              <w:t>↑</w:t>
            </w:r>
          </w:p>
        </w:tc>
      </w:tr>
      <w:tr w:rsidR="00CE3FA7" w14:paraId="322EC3ED" w14:textId="77777777" w:rsidTr="00E21B9C">
        <w:trPr>
          <w:jc w:val="center"/>
        </w:trPr>
        <w:tc>
          <w:tcPr>
            <w:tcW w:w="2910" w:type="dxa"/>
          </w:tcPr>
          <w:p w14:paraId="61EBE7F6" w14:textId="77777777" w:rsidR="00CE3FA7" w:rsidRDefault="00CE3FA7" w:rsidP="00E21B9C">
            <w:pPr>
              <w:jc w:val="center"/>
            </w:pPr>
            <w:r>
              <w:t>Sustainable Organisation</w:t>
            </w:r>
          </w:p>
        </w:tc>
      </w:tr>
    </w:tbl>
    <w:p w14:paraId="5FC6C697" w14:textId="05B26D47" w:rsidR="00CE3FA7" w:rsidRDefault="00CE3FA7" w:rsidP="00451E0E"/>
    <w:p w14:paraId="2916FBBC" w14:textId="43062C05" w:rsidR="00B40F38" w:rsidRDefault="00B40F38" w:rsidP="00451E0E">
      <w:r>
        <w:t xml:space="preserve">It is clear how some of the useful measures from our current Balanced Scorecard would </w:t>
      </w:r>
      <w:r w:rsidR="003018DD">
        <w:t>fit here whilst others would need new metrics. Examples</w:t>
      </w:r>
      <w:r w:rsidR="00C3622D">
        <w:t xml:space="preserve"> that map across</w:t>
      </w:r>
      <w:r w:rsidR="003018DD">
        <w:t xml:space="preserve"> include:</w:t>
      </w:r>
    </w:p>
    <w:p w14:paraId="249741F8" w14:textId="58C60779" w:rsidR="003018DD" w:rsidRDefault="003018DD" w:rsidP="003018DD">
      <w:pPr>
        <w:pStyle w:val="ListParagraph"/>
        <w:numPr>
          <w:ilvl w:val="0"/>
          <w:numId w:val="7"/>
        </w:numPr>
      </w:pPr>
      <w:r>
        <w:t>Sustainable Organisation</w:t>
      </w:r>
    </w:p>
    <w:p w14:paraId="40199EC6" w14:textId="56D620F1" w:rsidR="003018DD" w:rsidRDefault="008362F3" w:rsidP="003018DD">
      <w:pPr>
        <w:pStyle w:val="ListParagraph"/>
        <w:numPr>
          <w:ilvl w:val="1"/>
          <w:numId w:val="7"/>
        </w:numPr>
      </w:pPr>
      <w:r>
        <w:t>Financial performance</w:t>
      </w:r>
    </w:p>
    <w:p w14:paraId="6FBAA387" w14:textId="61790334" w:rsidR="008362F3" w:rsidRDefault="008362F3" w:rsidP="003018DD">
      <w:pPr>
        <w:pStyle w:val="ListParagraph"/>
        <w:numPr>
          <w:ilvl w:val="1"/>
          <w:numId w:val="7"/>
        </w:numPr>
      </w:pPr>
      <w:r>
        <w:t>Staff retention, training</w:t>
      </w:r>
      <w:r w:rsidR="00F90BAD">
        <w:t xml:space="preserve"> and recognition</w:t>
      </w:r>
    </w:p>
    <w:p w14:paraId="7A7CD5BA" w14:textId="2FC910DC" w:rsidR="00F90BAD" w:rsidRDefault="00F90BAD" w:rsidP="00F90BAD">
      <w:pPr>
        <w:pStyle w:val="ListParagraph"/>
        <w:numPr>
          <w:ilvl w:val="0"/>
          <w:numId w:val="7"/>
        </w:numPr>
      </w:pPr>
      <w:r>
        <w:t>Student Development &amp; Engagement</w:t>
      </w:r>
    </w:p>
    <w:p w14:paraId="4F98A43C" w14:textId="68C8D66C" w:rsidR="00F90BAD" w:rsidRDefault="00F90BAD" w:rsidP="00F90BAD">
      <w:pPr>
        <w:pStyle w:val="ListParagraph"/>
        <w:numPr>
          <w:ilvl w:val="1"/>
          <w:numId w:val="7"/>
        </w:numPr>
      </w:pPr>
      <w:r>
        <w:t>Elections</w:t>
      </w:r>
    </w:p>
    <w:p w14:paraId="7BD6E7BD" w14:textId="38A1DBE7" w:rsidR="00F90BAD" w:rsidRDefault="002E455C" w:rsidP="00F90BAD">
      <w:pPr>
        <w:pStyle w:val="ListParagraph"/>
        <w:numPr>
          <w:ilvl w:val="1"/>
          <w:numId w:val="7"/>
        </w:numPr>
      </w:pPr>
      <w:r>
        <w:t xml:space="preserve">Volunteer </w:t>
      </w:r>
      <w:r w:rsidR="00F90BAD">
        <w:t>Training &amp; Development</w:t>
      </w:r>
    </w:p>
    <w:p w14:paraId="347E00C4" w14:textId="121BD1B7" w:rsidR="002E455C" w:rsidRDefault="002E455C" w:rsidP="002E455C">
      <w:pPr>
        <w:pStyle w:val="ListParagraph"/>
        <w:numPr>
          <w:ilvl w:val="0"/>
          <w:numId w:val="7"/>
        </w:numPr>
      </w:pPr>
      <w:r>
        <w:t>Student Voice</w:t>
      </w:r>
    </w:p>
    <w:p w14:paraId="5049138D" w14:textId="641AA16D" w:rsidR="002E455C" w:rsidRDefault="00C3622D" w:rsidP="002E455C">
      <w:pPr>
        <w:pStyle w:val="ListParagraph"/>
        <w:numPr>
          <w:ilvl w:val="1"/>
          <w:numId w:val="7"/>
        </w:numPr>
      </w:pPr>
      <w:r>
        <w:t>Representation metrics</w:t>
      </w:r>
    </w:p>
    <w:p w14:paraId="4C3827C8" w14:textId="54D6A1B4" w:rsidR="00E36897" w:rsidRDefault="00E36897" w:rsidP="00E36897">
      <w:pPr>
        <w:pStyle w:val="ListParagraph"/>
        <w:numPr>
          <w:ilvl w:val="0"/>
          <w:numId w:val="7"/>
        </w:numPr>
      </w:pPr>
      <w:r>
        <w:t>Student Experience</w:t>
      </w:r>
    </w:p>
    <w:p w14:paraId="49065E8A" w14:textId="0DFB5E52" w:rsidR="00E36897" w:rsidRDefault="008B67A3" w:rsidP="00E36897">
      <w:pPr>
        <w:pStyle w:val="ListParagraph"/>
        <w:numPr>
          <w:ilvl w:val="1"/>
          <w:numId w:val="7"/>
        </w:numPr>
      </w:pPr>
      <w:r>
        <w:t>CSP metrics</w:t>
      </w:r>
    </w:p>
    <w:p w14:paraId="0A4EE8BE" w14:textId="554F0AE7" w:rsidR="005B1AF8" w:rsidRDefault="008B67A3" w:rsidP="00451E0E">
      <w:pPr>
        <w:pStyle w:val="ListParagraph"/>
        <w:numPr>
          <w:ilvl w:val="1"/>
          <w:numId w:val="7"/>
        </w:numPr>
      </w:pPr>
      <w:r>
        <w:t>Enjoyment of venues</w:t>
      </w:r>
    </w:p>
    <w:p w14:paraId="5462290B" w14:textId="77777777" w:rsidR="00393A66" w:rsidRDefault="00393A66" w:rsidP="00393A66"/>
    <w:p w14:paraId="43F0F286" w14:textId="77777777" w:rsidR="00B2751F" w:rsidRPr="00645A43" w:rsidRDefault="00B2751F" w:rsidP="00645A43">
      <w:pPr>
        <w:rPr>
          <w:b/>
        </w:rPr>
      </w:pPr>
      <w:r w:rsidRPr="00645A43">
        <w:rPr>
          <w:b/>
        </w:rPr>
        <w:t>Values</w:t>
      </w:r>
    </w:p>
    <w:p w14:paraId="0D94CC29" w14:textId="0A0B0E66" w:rsidR="00B2751F" w:rsidRDefault="00B2751F" w:rsidP="00B2751F">
      <w:r>
        <w:t>These are important to guide our decision-making</w:t>
      </w:r>
      <w:r w:rsidRPr="068D64BC">
        <w:t xml:space="preserve">. </w:t>
      </w:r>
      <w:r>
        <w:t>Democracy &amp; inclusivity are two of our four current values which are so core to what we do it would be difficult to envision us changing them</w:t>
      </w:r>
      <w:r w:rsidR="00371FA9">
        <w:t xml:space="preserve">. We </w:t>
      </w:r>
      <w:r>
        <w:t xml:space="preserve">recommend establishing </w:t>
      </w:r>
      <w:r w:rsidR="00371FA9">
        <w:t xml:space="preserve">four </w:t>
      </w:r>
      <w:r>
        <w:t>concise values following wider consultation</w:t>
      </w:r>
      <w:r w:rsidR="00371FA9">
        <w:t xml:space="preserve"> focusing on the remaining values of Leadership and Partnership.</w:t>
      </w:r>
    </w:p>
    <w:p w14:paraId="493CFE34" w14:textId="30F2CABF" w:rsidR="00B2751F" w:rsidRDefault="00B2751F" w:rsidP="00451E0E"/>
    <w:p w14:paraId="6D58DF7F" w14:textId="0582EA60" w:rsidR="006B3721" w:rsidRDefault="006B3721" w:rsidP="00451E0E"/>
    <w:p w14:paraId="0A661342" w14:textId="21E9F5DB" w:rsidR="006B3721" w:rsidRDefault="006B3721" w:rsidP="00451E0E"/>
    <w:p w14:paraId="2789A50E" w14:textId="668DE366" w:rsidR="00496DC8" w:rsidRDefault="00496DC8" w:rsidP="00451E0E"/>
    <w:p w14:paraId="6C59ADAC" w14:textId="77777777" w:rsidR="00496DC8" w:rsidRDefault="00496DC8" w:rsidP="00451E0E"/>
    <w:p w14:paraId="49B3A662" w14:textId="5489A507" w:rsidR="00451E0E" w:rsidRPr="00645A43" w:rsidRDefault="00451E0E" w:rsidP="00645A43">
      <w:pPr>
        <w:rPr>
          <w:b/>
        </w:rPr>
      </w:pPr>
      <w:r w:rsidRPr="00645A43">
        <w:rPr>
          <w:b/>
        </w:rPr>
        <w:t xml:space="preserve">Consultation </w:t>
      </w:r>
      <w:r w:rsidR="0066046E">
        <w:rPr>
          <w:b/>
        </w:rPr>
        <w:t>f</w:t>
      </w:r>
      <w:r w:rsidR="00164801">
        <w:rPr>
          <w:b/>
        </w:rPr>
        <w:t>ramework</w:t>
      </w:r>
      <w:r w:rsidR="00597AB0">
        <w:rPr>
          <w:b/>
        </w:rPr>
        <w:t xml:space="preserve"> and timeline</w:t>
      </w:r>
    </w:p>
    <w:p w14:paraId="554A3954" w14:textId="42F986A4" w:rsidR="00960AA7" w:rsidRDefault="00F75931" w:rsidP="00451E0E">
      <w:r>
        <w:t xml:space="preserve">Stakeholder consultation to ensure buy-in and support for our strategy will be essential. </w:t>
      </w:r>
      <w:r w:rsidR="00E6634B">
        <w:t xml:space="preserve">The Consultation Sub-Group will have oversight of this </w:t>
      </w:r>
      <w:r w:rsidR="00022073">
        <w:t>process,</w:t>
      </w:r>
      <w:r w:rsidR="00E6634B">
        <w:t xml:space="preserve"> but the main categories </w:t>
      </w:r>
      <w:r w:rsidR="00597AB0">
        <w:t xml:space="preserve">are outlined here with </w:t>
      </w:r>
      <w:r w:rsidR="001B78CC">
        <w:t>brief summary of proposed steps.</w:t>
      </w:r>
    </w:p>
    <w:p w14:paraId="1B3405EF" w14:textId="7506206A" w:rsidR="001B78CC" w:rsidRDefault="001B78CC" w:rsidP="00022073">
      <w:pPr>
        <w:pStyle w:val="ListParagraph"/>
        <w:numPr>
          <w:ilvl w:val="0"/>
          <w:numId w:val="2"/>
        </w:numPr>
      </w:pPr>
      <w:r w:rsidRPr="002F0A82">
        <w:rPr>
          <w:b/>
        </w:rPr>
        <w:t>Board</w:t>
      </w:r>
      <w:r w:rsidR="007A3D24" w:rsidRPr="002F0A82">
        <w:rPr>
          <w:b/>
        </w:rPr>
        <w:t>:</w:t>
      </w:r>
      <w:r w:rsidR="00F27695">
        <w:t xml:space="preserve"> Consultation </w:t>
      </w:r>
      <w:r w:rsidR="00BB232E">
        <w:t xml:space="preserve">began on the September strategy day </w:t>
      </w:r>
      <w:r w:rsidR="004023D0">
        <w:t xml:space="preserve">and key checkpoints are outlined in the chart below with deeper </w:t>
      </w:r>
      <w:r w:rsidR="007A3D24">
        <w:t>involvement through the sub groups.</w:t>
      </w:r>
    </w:p>
    <w:p w14:paraId="3DA17A42" w14:textId="3C51D9C0" w:rsidR="0020019C" w:rsidRDefault="001B78CC" w:rsidP="00701157">
      <w:pPr>
        <w:pStyle w:val="ListParagraph"/>
        <w:numPr>
          <w:ilvl w:val="0"/>
          <w:numId w:val="2"/>
        </w:numPr>
      </w:pPr>
      <w:r w:rsidRPr="002F0A82">
        <w:rPr>
          <w:b/>
        </w:rPr>
        <w:t>Members</w:t>
      </w:r>
      <w:r w:rsidR="007A3D24" w:rsidRPr="002F0A82">
        <w:rPr>
          <w:b/>
        </w:rPr>
        <w:t>:</w:t>
      </w:r>
      <w:r w:rsidR="007A3D24">
        <w:t xml:space="preserve"> </w:t>
      </w:r>
      <w:r w:rsidR="0020019C">
        <w:t>This is multi-layered and begins with existing data including Student Experience Survey, NSS, PRES/PTES</w:t>
      </w:r>
      <w:r w:rsidR="001C2DF7">
        <w:t xml:space="preserve">. We will </w:t>
      </w:r>
      <w:r w:rsidR="000D274F">
        <w:t xml:space="preserve">consult through formal and informal student meetings including Council, </w:t>
      </w:r>
      <w:r w:rsidR="00701157">
        <w:t xml:space="preserve">Governance &amp; Identity, Rep meetings and will </w:t>
      </w:r>
      <w:r w:rsidR="001C2DF7">
        <w:t>host focus groups for underrepresented student groups</w:t>
      </w:r>
      <w:r w:rsidR="00701157">
        <w:t>.</w:t>
      </w:r>
      <w:r w:rsidR="008B7E6E">
        <w:t xml:space="preserve"> We are also seeking feedback through individual consultation meetings with senior student volunteers</w:t>
      </w:r>
      <w:r w:rsidR="00437B55">
        <w:t xml:space="preserve"> (c.15 currently </w:t>
      </w:r>
      <w:r w:rsidR="002F0A82">
        <w:t>identified).</w:t>
      </w:r>
    </w:p>
    <w:p w14:paraId="0208E1A6" w14:textId="75E5A76C" w:rsidR="001B78CC" w:rsidRPr="00117743" w:rsidRDefault="001B78CC" w:rsidP="00117743">
      <w:pPr>
        <w:pStyle w:val="ListParagraph"/>
        <w:numPr>
          <w:ilvl w:val="0"/>
          <w:numId w:val="9"/>
        </w:numPr>
      </w:pPr>
      <w:r w:rsidRPr="00117743">
        <w:rPr>
          <w:b/>
        </w:rPr>
        <w:t>Union Staff</w:t>
      </w:r>
      <w:r w:rsidR="002F0A82" w:rsidRPr="00117743">
        <w:rPr>
          <w:b/>
        </w:rPr>
        <w:t xml:space="preserve">: </w:t>
      </w:r>
      <w:r w:rsidR="00AE2314">
        <w:t xml:space="preserve">Union staff have been consulted on: What they want from the strategy; What they would like it to include; and how they want to contribute. </w:t>
      </w:r>
      <w:r w:rsidR="00D12D64">
        <w:t xml:space="preserve">This produced some </w:t>
      </w:r>
      <w:r w:rsidR="00A73867">
        <w:t xml:space="preserve">key considerations already fed in as well as </w:t>
      </w:r>
      <w:r w:rsidR="00902386">
        <w:t xml:space="preserve">commitments to gain further Input through team and directorate meetings and </w:t>
      </w:r>
      <w:r w:rsidR="00117743">
        <w:t>hosting f</w:t>
      </w:r>
      <w:r w:rsidR="00902386">
        <w:t>ocus groups on specified topics</w:t>
      </w:r>
      <w:r w:rsidR="00117743">
        <w:t>.</w:t>
      </w:r>
    </w:p>
    <w:p w14:paraId="65117B99" w14:textId="45DEAC77" w:rsidR="001B78CC" w:rsidRPr="002F0A82" w:rsidRDefault="001B78CC" w:rsidP="00022073">
      <w:pPr>
        <w:pStyle w:val="ListParagraph"/>
        <w:numPr>
          <w:ilvl w:val="0"/>
          <w:numId w:val="2"/>
        </w:numPr>
        <w:rPr>
          <w:b/>
        </w:rPr>
      </w:pPr>
      <w:r w:rsidRPr="002F0A82">
        <w:rPr>
          <w:b/>
        </w:rPr>
        <w:t>College Staff</w:t>
      </w:r>
      <w:r w:rsidR="00117743">
        <w:rPr>
          <w:b/>
        </w:rPr>
        <w:t xml:space="preserve">: </w:t>
      </w:r>
      <w:r w:rsidR="00117743">
        <w:t xml:space="preserve">A spreadsheet of key College staff has been developed and </w:t>
      </w:r>
      <w:r w:rsidR="00890995">
        <w:t>used to shape th</w:t>
      </w:r>
      <w:r w:rsidR="00107DC4">
        <w:t xml:space="preserve">e existing consultation opportunities. This results in a need to </w:t>
      </w:r>
      <w:r w:rsidR="00875353">
        <w:t>create additional opportunities and is being led by MD and President.</w:t>
      </w:r>
    </w:p>
    <w:p w14:paraId="23D19D23" w14:textId="20484278" w:rsidR="001B78CC" w:rsidRPr="002F0A82" w:rsidRDefault="001B78CC" w:rsidP="00022073">
      <w:pPr>
        <w:pStyle w:val="ListParagraph"/>
        <w:numPr>
          <w:ilvl w:val="0"/>
          <w:numId w:val="2"/>
        </w:numPr>
        <w:rPr>
          <w:b/>
        </w:rPr>
      </w:pPr>
      <w:r w:rsidRPr="002F0A82">
        <w:rPr>
          <w:b/>
        </w:rPr>
        <w:t>External benchmark</w:t>
      </w:r>
      <w:r w:rsidR="000C6BF9">
        <w:rPr>
          <w:b/>
        </w:rPr>
        <w:t xml:space="preserve">ing: </w:t>
      </w:r>
      <w:r w:rsidR="00C03E7C">
        <w:t>Analysis of sector and other relevant strategies</w:t>
      </w:r>
      <w:r w:rsidR="0079406A">
        <w:t xml:space="preserve"> through desk research, contacts and connections and potentially support of third</w:t>
      </w:r>
      <w:r w:rsidR="00027A42">
        <w:t>-</w:t>
      </w:r>
      <w:r w:rsidR="0079406A">
        <w:t>party</w:t>
      </w:r>
      <w:r w:rsidR="00261D77">
        <w:t xml:space="preserve"> organisation(s).</w:t>
      </w:r>
    </w:p>
    <w:p w14:paraId="5445F6D4" w14:textId="00F8FC3F" w:rsidR="001A1701" w:rsidRDefault="000C6BF9" w:rsidP="00451E0E">
      <w:r>
        <w:rPr>
          <w:noProof/>
        </w:rPr>
        <w:drawing>
          <wp:inline distT="0" distB="0" distL="0" distR="0" wp14:anchorId="16D898FA" wp14:editId="31D3F654">
            <wp:extent cx="6385560" cy="416271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838" cy="417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ED2905" w14:textId="77777777" w:rsidR="001A1701" w:rsidRDefault="001A1701" w:rsidP="00451E0E"/>
    <w:p w14:paraId="1735282D" w14:textId="678E81F6" w:rsidR="00E6634B" w:rsidRDefault="00E6634B" w:rsidP="00451E0E"/>
    <w:p w14:paraId="49379712" w14:textId="21B8B8B8" w:rsidR="00451E0E" w:rsidRPr="00645A43" w:rsidRDefault="00451E0E" w:rsidP="00451E0E">
      <w:pPr>
        <w:rPr>
          <w:b/>
        </w:rPr>
      </w:pPr>
      <w:r w:rsidRPr="00645A43">
        <w:rPr>
          <w:b/>
        </w:rPr>
        <w:t>Sub Groups</w:t>
      </w:r>
    </w:p>
    <w:p w14:paraId="25BA519F" w14:textId="206C7315" w:rsidR="00585064" w:rsidRDefault="009946E7" w:rsidP="00151CD6">
      <w:r>
        <w:t xml:space="preserve">Following </w:t>
      </w:r>
      <w:r w:rsidR="00261D77">
        <w:t xml:space="preserve">the September strategy day, we </w:t>
      </w:r>
      <w:r>
        <w:t xml:space="preserve">called out for volunteers to </w:t>
      </w:r>
      <w:r w:rsidR="00585064">
        <w:t>form subgroups to oversee and assist in the different aspects of strategy development. Based on responses and other surrounding conversations, we propose the following subgroups and outline Term</w:t>
      </w:r>
      <w:r w:rsidR="00836E66">
        <w:t>s</w:t>
      </w:r>
      <w:r w:rsidR="00585064">
        <w:t xml:space="preserve"> of Reference.</w:t>
      </w:r>
    </w:p>
    <w:p w14:paraId="714FBB63" w14:textId="77777777" w:rsidR="00585064" w:rsidRDefault="00585064" w:rsidP="00585064"/>
    <w:p w14:paraId="096D3E37" w14:textId="6A2039A1" w:rsidR="00151CD6" w:rsidRDefault="00151CD6" w:rsidP="00585064">
      <w:r w:rsidRPr="00F13FDA">
        <w:rPr>
          <w:b/>
        </w:rPr>
        <w:t xml:space="preserve">Core Strategy subgroup </w:t>
      </w:r>
      <w:r>
        <w:t>– Monthly (until final document)</w:t>
      </w:r>
    </w:p>
    <w:p w14:paraId="3EF87C67" w14:textId="77777777" w:rsidR="00151CD6" w:rsidRDefault="00151CD6" w:rsidP="00151CD6">
      <w:pPr>
        <w:pStyle w:val="ListParagraph"/>
        <w:numPr>
          <w:ilvl w:val="0"/>
          <w:numId w:val="1"/>
        </w:numPr>
      </w:pPr>
      <w:r>
        <w:t>Delegated ownership of process steps and timelines from Board.</w:t>
      </w:r>
    </w:p>
    <w:p w14:paraId="5DC94CA4" w14:textId="77777777" w:rsidR="00151CD6" w:rsidRDefault="00151CD6" w:rsidP="00151CD6">
      <w:pPr>
        <w:pStyle w:val="ListParagraph"/>
        <w:numPr>
          <w:ilvl w:val="0"/>
          <w:numId w:val="1"/>
        </w:numPr>
      </w:pPr>
      <w:r>
        <w:t>Delegated ownership of strategy formation from Board. Includes receiving consultation outputs, forming prioritisation which therefore feeds into funding group and setting first draft of strategy document.</w:t>
      </w:r>
    </w:p>
    <w:p w14:paraId="0E8E0586" w14:textId="77777777" w:rsidR="00151CD6" w:rsidRDefault="00151CD6" w:rsidP="00151CD6">
      <w:pPr>
        <w:pStyle w:val="ListParagraph"/>
        <w:numPr>
          <w:ilvl w:val="1"/>
          <w:numId w:val="1"/>
        </w:numPr>
      </w:pPr>
      <w:r>
        <w:t>MD</w:t>
      </w:r>
    </w:p>
    <w:p w14:paraId="7976A644" w14:textId="77777777" w:rsidR="00151CD6" w:rsidRDefault="00151CD6" w:rsidP="00151CD6">
      <w:pPr>
        <w:pStyle w:val="ListParagraph"/>
        <w:numPr>
          <w:ilvl w:val="1"/>
          <w:numId w:val="1"/>
        </w:numPr>
      </w:pPr>
      <w:r>
        <w:t>Pres</w:t>
      </w:r>
    </w:p>
    <w:p w14:paraId="57D56E92" w14:textId="77777777" w:rsidR="00151CD6" w:rsidRDefault="00151CD6" w:rsidP="00151CD6">
      <w:pPr>
        <w:pStyle w:val="ListParagraph"/>
        <w:numPr>
          <w:ilvl w:val="1"/>
          <w:numId w:val="1"/>
        </w:numPr>
      </w:pPr>
      <w:r>
        <w:t>DPCS</w:t>
      </w:r>
    </w:p>
    <w:p w14:paraId="31FFB839" w14:textId="77777777" w:rsidR="00151CD6" w:rsidRDefault="00151CD6" w:rsidP="00151CD6">
      <w:pPr>
        <w:pStyle w:val="ListParagraph"/>
        <w:numPr>
          <w:ilvl w:val="1"/>
          <w:numId w:val="1"/>
        </w:numPr>
      </w:pPr>
      <w:proofErr w:type="spellStart"/>
      <w:r>
        <w:t>HoSE</w:t>
      </w:r>
      <w:proofErr w:type="spellEnd"/>
    </w:p>
    <w:p w14:paraId="3A4B2CBD" w14:textId="77777777" w:rsidR="00151CD6" w:rsidRDefault="00151CD6" w:rsidP="00151CD6">
      <w:pPr>
        <w:pStyle w:val="ListParagraph"/>
        <w:numPr>
          <w:ilvl w:val="1"/>
          <w:numId w:val="1"/>
        </w:numPr>
      </w:pPr>
      <w:r>
        <w:t>Council Chair</w:t>
      </w:r>
    </w:p>
    <w:p w14:paraId="710013D1" w14:textId="77777777" w:rsidR="00151CD6" w:rsidRDefault="00151CD6" w:rsidP="00151CD6">
      <w:pPr>
        <w:pStyle w:val="ListParagraph"/>
        <w:numPr>
          <w:ilvl w:val="1"/>
          <w:numId w:val="1"/>
        </w:numPr>
      </w:pPr>
      <w:r>
        <w:t>Chair of Board</w:t>
      </w:r>
    </w:p>
    <w:p w14:paraId="2B052BDE" w14:textId="77777777" w:rsidR="00151CD6" w:rsidRDefault="00151CD6" w:rsidP="00151CD6">
      <w:pPr>
        <w:pStyle w:val="ListParagraph"/>
        <w:numPr>
          <w:ilvl w:val="1"/>
          <w:numId w:val="1"/>
        </w:numPr>
      </w:pPr>
      <w:r>
        <w:t>F&amp;R Chair</w:t>
      </w:r>
    </w:p>
    <w:p w14:paraId="0070AFB4" w14:textId="77777777" w:rsidR="00151CD6" w:rsidRDefault="00151CD6" w:rsidP="00151CD6">
      <w:pPr>
        <w:pStyle w:val="ListParagraph"/>
        <w:numPr>
          <w:ilvl w:val="1"/>
          <w:numId w:val="1"/>
        </w:numPr>
      </w:pPr>
      <w:r>
        <w:t>One student trustee (Jinpo)</w:t>
      </w:r>
    </w:p>
    <w:p w14:paraId="7E114DE0" w14:textId="77777777" w:rsidR="00151CD6" w:rsidRDefault="00151CD6" w:rsidP="00F13FDA">
      <w:r w:rsidRPr="00F13FDA">
        <w:rPr>
          <w:b/>
        </w:rPr>
        <w:t>College funding subgroup</w:t>
      </w:r>
      <w:r>
        <w:t xml:space="preserve"> – Monthly (until end of Term 2)</w:t>
      </w:r>
    </w:p>
    <w:p w14:paraId="78E58122" w14:textId="77777777" w:rsidR="00151CD6" w:rsidRDefault="00151CD6" w:rsidP="00151CD6">
      <w:pPr>
        <w:pStyle w:val="ListParagraph"/>
        <w:numPr>
          <w:ilvl w:val="0"/>
          <w:numId w:val="1"/>
        </w:numPr>
      </w:pPr>
      <w:r>
        <w:t>Advisory group for: Block grant negotiation (</w:t>
      </w:r>
      <w:proofErr w:type="spellStart"/>
      <w:r>
        <w:t>inc</w:t>
      </w:r>
      <w:proofErr w:type="spellEnd"/>
      <w:r>
        <w:t xml:space="preserve"> Staff salaries); capital funding agreement; </w:t>
      </w:r>
    </w:p>
    <w:p w14:paraId="1797FD59" w14:textId="77777777" w:rsidR="00151CD6" w:rsidRDefault="00151CD6" w:rsidP="00151CD6">
      <w:pPr>
        <w:pStyle w:val="ListParagraph"/>
        <w:numPr>
          <w:ilvl w:val="1"/>
          <w:numId w:val="1"/>
        </w:numPr>
      </w:pPr>
      <w:r>
        <w:t>MD</w:t>
      </w:r>
    </w:p>
    <w:p w14:paraId="3CDF0CE2" w14:textId="77777777" w:rsidR="00151CD6" w:rsidRDefault="00151CD6" w:rsidP="00151CD6">
      <w:pPr>
        <w:pStyle w:val="ListParagraph"/>
        <w:numPr>
          <w:ilvl w:val="1"/>
          <w:numId w:val="1"/>
        </w:numPr>
      </w:pPr>
      <w:r>
        <w:t>Pres</w:t>
      </w:r>
    </w:p>
    <w:p w14:paraId="53FE13DD" w14:textId="77777777" w:rsidR="00151CD6" w:rsidRDefault="00151CD6" w:rsidP="00151CD6">
      <w:pPr>
        <w:pStyle w:val="ListParagraph"/>
        <w:numPr>
          <w:ilvl w:val="1"/>
          <w:numId w:val="1"/>
        </w:numPr>
      </w:pPr>
      <w:r>
        <w:t>DPFS</w:t>
      </w:r>
    </w:p>
    <w:p w14:paraId="554CF65A" w14:textId="77777777" w:rsidR="00151CD6" w:rsidRDefault="00151CD6" w:rsidP="00151CD6">
      <w:pPr>
        <w:pStyle w:val="ListParagraph"/>
        <w:numPr>
          <w:ilvl w:val="1"/>
          <w:numId w:val="1"/>
        </w:numPr>
      </w:pPr>
      <w:proofErr w:type="spellStart"/>
      <w:r>
        <w:t>HoFR</w:t>
      </w:r>
      <w:proofErr w:type="spellEnd"/>
    </w:p>
    <w:p w14:paraId="0493B836" w14:textId="77777777" w:rsidR="00151CD6" w:rsidRDefault="00151CD6" w:rsidP="00151CD6">
      <w:pPr>
        <w:pStyle w:val="ListParagraph"/>
        <w:numPr>
          <w:ilvl w:val="1"/>
          <w:numId w:val="1"/>
        </w:numPr>
      </w:pPr>
      <w:proofErr w:type="spellStart"/>
      <w:r>
        <w:t>HoCS</w:t>
      </w:r>
      <w:proofErr w:type="spellEnd"/>
    </w:p>
    <w:p w14:paraId="320E971B" w14:textId="77777777" w:rsidR="00151CD6" w:rsidRDefault="00151CD6" w:rsidP="00151CD6">
      <w:pPr>
        <w:pStyle w:val="ListParagraph"/>
        <w:numPr>
          <w:ilvl w:val="1"/>
          <w:numId w:val="1"/>
        </w:numPr>
      </w:pPr>
      <w:r>
        <w:t>F&amp;R Chair</w:t>
      </w:r>
      <w:bookmarkStart w:id="0" w:name="_GoBack"/>
      <w:bookmarkEnd w:id="0"/>
    </w:p>
    <w:p w14:paraId="74C7B614" w14:textId="77777777" w:rsidR="00151CD6" w:rsidRDefault="00151CD6" w:rsidP="00151CD6">
      <w:pPr>
        <w:pStyle w:val="ListParagraph"/>
        <w:numPr>
          <w:ilvl w:val="1"/>
          <w:numId w:val="1"/>
        </w:numPr>
      </w:pPr>
      <w:r>
        <w:t>One student trustee (Milia)</w:t>
      </w:r>
    </w:p>
    <w:p w14:paraId="2CA12437" w14:textId="55705062" w:rsidR="00151CD6" w:rsidRDefault="00151CD6" w:rsidP="00F13FDA">
      <w:r w:rsidRPr="00F13FDA">
        <w:rPr>
          <w:b/>
        </w:rPr>
        <w:t>Consultation subgroup</w:t>
      </w:r>
      <w:r>
        <w:t xml:space="preserve"> – meet in middle and end of consultation process</w:t>
      </w:r>
    </w:p>
    <w:p w14:paraId="3CF70AB4" w14:textId="77777777" w:rsidR="00151CD6" w:rsidRDefault="00151CD6" w:rsidP="00151CD6">
      <w:pPr>
        <w:pStyle w:val="ListParagraph"/>
        <w:numPr>
          <w:ilvl w:val="0"/>
          <w:numId w:val="1"/>
        </w:numPr>
      </w:pPr>
      <w:r>
        <w:t>Own the consultation plan, receive the data / feedback and approve the key messages that are extrapolated from that</w:t>
      </w:r>
    </w:p>
    <w:p w14:paraId="6C62621F" w14:textId="77777777" w:rsidR="00151CD6" w:rsidRDefault="00151CD6" w:rsidP="00151CD6">
      <w:pPr>
        <w:pStyle w:val="ListParagraph"/>
        <w:numPr>
          <w:ilvl w:val="0"/>
          <w:numId w:val="1"/>
        </w:numPr>
      </w:pPr>
      <w:r>
        <w:t>Ensure (internal) stakeholders input to metrics against strategic objectives</w:t>
      </w:r>
    </w:p>
    <w:p w14:paraId="155B2B16" w14:textId="77777777" w:rsidR="00151CD6" w:rsidRDefault="00151CD6" w:rsidP="00151CD6">
      <w:pPr>
        <w:pStyle w:val="ListParagraph"/>
        <w:numPr>
          <w:ilvl w:val="1"/>
          <w:numId w:val="1"/>
        </w:numPr>
      </w:pPr>
      <w:r>
        <w:t>MD</w:t>
      </w:r>
    </w:p>
    <w:p w14:paraId="6590AD27" w14:textId="77777777" w:rsidR="00151CD6" w:rsidRDefault="00151CD6" w:rsidP="00151CD6">
      <w:pPr>
        <w:pStyle w:val="ListParagraph"/>
        <w:numPr>
          <w:ilvl w:val="1"/>
          <w:numId w:val="1"/>
        </w:numPr>
      </w:pPr>
      <w:r>
        <w:t>Pres</w:t>
      </w:r>
    </w:p>
    <w:p w14:paraId="7A4F99EA" w14:textId="77777777" w:rsidR="00151CD6" w:rsidRDefault="00151CD6" w:rsidP="00151CD6">
      <w:pPr>
        <w:pStyle w:val="ListParagraph"/>
        <w:numPr>
          <w:ilvl w:val="1"/>
          <w:numId w:val="1"/>
        </w:numPr>
      </w:pPr>
      <w:r>
        <w:t>DPE</w:t>
      </w:r>
    </w:p>
    <w:p w14:paraId="5AD0A3A9" w14:textId="77777777" w:rsidR="00151CD6" w:rsidRDefault="00151CD6" w:rsidP="00151CD6">
      <w:pPr>
        <w:pStyle w:val="ListParagraph"/>
        <w:numPr>
          <w:ilvl w:val="1"/>
          <w:numId w:val="1"/>
        </w:numPr>
      </w:pPr>
      <w:proofErr w:type="spellStart"/>
      <w:r>
        <w:t>HoSVC</w:t>
      </w:r>
      <w:proofErr w:type="spellEnd"/>
    </w:p>
    <w:p w14:paraId="11237BC4" w14:textId="731C847F" w:rsidR="00151CD6" w:rsidRDefault="00783EC6" w:rsidP="00151CD6">
      <w:pPr>
        <w:pStyle w:val="ListParagraph"/>
        <w:numPr>
          <w:ilvl w:val="1"/>
          <w:numId w:val="1"/>
        </w:numPr>
      </w:pPr>
      <w:r>
        <w:t>Governance Chair</w:t>
      </w:r>
    </w:p>
    <w:p w14:paraId="194FBADD" w14:textId="77777777" w:rsidR="00151CD6" w:rsidRDefault="00151CD6" w:rsidP="00151CD6">
      <w:pPr>
        <w:pStyle w:val="ListParagraph"/>
        <w:numPr>
          <w:ilvl w:val="1"/>
          <w:numId w:val="1"/>
        </w:numPr>
      </w:pPr>
      <w:r>
        <w:t>Two student trustees (Dan, Ansh)</w:t>
      </w:r>
    </w:p>
    <w:p w14:paraId="22C06DA7" w14:textId="77777777" w:rsidR="00151CD6" w:rsidRDefault="00151CD6" w:rsidP="00151CD6"/>
    <w:p w14:paraId="50F71CBE" w14:textId="77777777" w:rsidR="00B873EB" w:rsidRPr="00B873EB" w:rsidRDefault="00B873EB" w:rsidP="00B873EB">
      <w:pPr>
        <w:jc w:val="center"/>
        <w:rPr>
          <w:color w:val="FF0000"/>
        </w:rPr>
      </w:pPr>
    </w:p>
    <w:sectPr w:rsidR="00B873EB" w:rsidRPr="00B87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49F34" w14:textId="77777777" w:rsidR="00450EC9" w:rsidRDefault="00450EC9" w:rsidP="003C77AE">
      <w:pPr>
        <w:spacing w:after="0" w:line="240" w:lineRule="auto"/>
      </w:pPr>
      <w:r>
        <w:separator/>
      </w:r>
    </w:p>
  </w:endnote>
  <w:endnote w:type="continuationSeparator" w:id="0">
    <w:p w14:paraId="3A06548A" w14:textId="77777777" w:rsidR="00450EC9" w:rsidRDefault="00450EC9" w:rsidP="003C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AD040" w14:textId="77777777" w:rsidR="00450EC9" w:rsidRDefault="00450EC9" w:rsidP="003C77AE">
      <w:pPr>
        <w:spacing w:after="0" w:line="240" w:lineRule="auto"/>
      </w:pPr>
      <w:r>
        <w:separator/>
      </w:r>
    </w:p>
  </w:footnote>
  <w:footnote w:type="continuationSeparator" w:id="0">
    <w:p w14:paraId="40DD3448" w14:textId="77777777" w:rsidR="00450EC9" w:rsidRDefault="00450EC9" w:rsidP="003C77AE">
      <w:pPr>
        <w:spacing w:after="0" w:line="240" w:lineRule="auto"/>
      </w:pPr>
      <w:r>
        <w:continuationSeparator/>
      </w:r>
    </w:p>
  </w:footnote>
  <w:footnote w:id="1">
    <w:p w14:paraId="7897437F" w14:textId="05BF7C2B" w:rsidR="003C77AE" w:rsidRDefault="003C77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F1859" w:rsidRPr="00FF1859">
        <w:rPr>
          <w:sz w:val="18"/>
        </w:rPr>
        <w:t xml:space="preserve">Kaplan, R. and Norton, D. (1996). </w:t>
      </w:r>
      <w:r w:rsidR="00FF1859" w:rsidRPr="00FF1859">
        <w:rPr>
          <w:i/>
          <w:sz w:val="18"/>
        </w:rPr>
        <w:t>The Balanced Scorecard: Translating Strategy into Action</w:t>
      </w:r>
      <w:r w:rsidR="00FF1859" w:rsidRPr="00FF1859">
        <w:rPr>
          <w:sz w:val="18"/>
        </w:rPr>
        <w:t>. Harvard Business Press.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0AC0"/>
    <w:multiLevelType w:val="hybridMultilevel"/>
    <w:tmpl w:val="29D67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7F71"/>
    <w:multiLevelType w:val="hybridMultilevel"/>
    <w:tmpl w:val="8718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17BDF"/>
    <w:multiLevelType w:val="hybridMultilevel"/>
    <w:tmpl w:val="CA36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93CBA"/>
    <w:multiLevelType w:val="hybridMultilevel"/>
    <w:tmpl w:val="C78A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80FEF"/>
    <w:multiLevelType w:val="hybridMultilevel"/>
    <w:tmpl w:val="D9005E9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63069B6"/>
    <w:multiLevelType w:val="hybridMultilevel"/>
    <w:tmpl w:val="2154D48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55823"/>
    <w:multiLevelType w:val="hybridMultilevel"/>
    <w:tmpl w:val="DDC0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949C3"/>
    <w:multiLevelType w:val="hybridMultilevel"/>
    <w:tmpl w:val="02B8C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B7BEF"/>
    <w:multiLevelType w:val="hybridMultilevel"/>
    <w:tmpl w:val="8A406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B"/>
    <w:rsid w:val="00007E82"/>
    <w:rsid w:val="00022073"/>
    <w:rsid w:val="00027A42"/>
    <w:rsid w:val="000802ED"/>
    <w:rsid w:val="00082114"/>
    <w:rsid w:val="00091FB0"/>
    <w:rsid w:val="000A659F"/>
    <w:rsid w:val="000C6BF9"/>
    <w:rsid w:val="000D274F"/>
    <w:rsid w:val="0010473F"/>
    <w:rsid w:val="00107DC4"/>
    <w:rsid w:val="00117743"/>
    <w:rsid w:val="00151CD6"/>
    <w:rsid w:val="00164801"/>
    <w:rsid w:val="00171C63"/>
    <w:rsid w:val="001978ED"/>
    <w:rsid w:val="001A1424"/>
    <w:rsid w:val="001A1701"/>
    <w:rsid w:val="001A78A7"/>
    <w:rsid w:val="001B78CC"/>
    <w:rsid w:val="001C2DF7"/>
    <w:rsid w:val="001C3A6C"/>
    <w:rsid w:val="001C5216"/>
    <w:rsid w:val="0020019C"/>
    <w:rsid w:val="00230674"/>
    <w:rsid w:val="00230DE9"/>
    <w:rsid w:val="00261D77"/>
    <w:rsid w:val="00270DEC"/>
    <w:rsid w:val="002B118B"/>
    <w:rsid w:val="002C596B"/>
    <w:rsid w:val="002E24A5"/>
    <w:rsid w:val="002E455C"/>
    <w:rsid w:val="002F0A82"/>
    <w:rsid w:val="0030015E"/>
    <w:rsid w:val="003018DD"/>
    <w:rsid w:val="00307CEB"/>
    <w:rsid w:val="00361C23"/>
    <w:rsid w:val="003643FD"/>
    <w:rsid w:val="00371FA9"/>
    <w:rsid w:val="00373314"/>
    <w:rsid w:val="00373956"/>
    <w:rsid w:val="00393A66"/>
    <w:rsid w:val="003C160A"/>
    <w:rsid w:val="003C48E1"/>
    <w:rsid w:val="003C51AF"/>
    <w:rsid w:val="003C76DB"/>
    <w:rsid w:val="003C77AE"/>
    <w:rsid w:val="004023D0"/>
    <w:rsid w:val="004331A2"/>
    <w:rsid w:val="00437B55"/>
    <w:rsid w:val="00450EC9"/>
    <w:rsid w:val="00451E0E"/>
    <w:rsid w:val="00460BAA"/>
    <w:rsid w:val="00496DC8"/>
    <w:rsid w:val="0052632E"/>
    <w:rsid w:val="005529D8"/>
    <w:rsid w:val="005611C2"/>
    <w:rsid w:val="00585064"/>
    <w:rsid w:val="0059457F"/>
    <w:rsid w:val="00597AB0"/>
    <w:rsid w:val="005B1AF8"/>
    <w:rsid w:val="005F24CC"/>
    <w:rsid w:val="005F6D57"/>
    <w:rsid w:val="00645A43"/>
    <w:rsid w:val="00654252"/>
    <w:rsid w:val="0066046E"/>
    <w:rsid w:val="006860E2"/>
    <w:rsid w:val="00695602"/>
    <w:rsid w:val="006A7D79"/>
    <w:rsid w:val="006B3721"/>
    <w:rsid w:val="006B62BC"/>
    <w:rsid w:val="006E3184"/>
    <w:rsid w:val="00701157"/>
    <w:rsid w:val="00783EC6"/>
    <w:rsid w:val="0079406A"/>
    <w:rsid w:val="007A3D24"/>
    <w:rsid w:val="007A5B65"/>
    <w:rsid w:val="007E1BAA"/>
    <w:rsid w:val="007E6372"/>
    <w:rsid w:val="0080138A"/>
    <w:rsid w:val="00823CBC"/>
    <w:rsid w:val="008329C9"/>
    <w:rsid w:val="008362F3"/>
    <w:rsid w:val="00836E66"/>
    <w:rsid w:val="00873B2D"/>
    <w:rsid w:val="00875353"/>
    <w:rsid w:val="00890995"/>
    <w:rsid w:val="008B67A3"/>
    <w:rsid w:val="008B7E6E"/>
    <w:rsid w:val="00902386"/>
    <w:rsid w:val="00934544"/>
    <w:rsid w:val="00934E5D"/>
    <w:rsid w:val="0093785C"/>
    <w:rsid w:val="00960AA7"/>
    <w:rsid w:val="00985F1C"/>
    <w:rsid w:val="009946E7"/>
    <w:rsid w:val="009B38BD"/>
    <w:rsid w:val="009E51A9"/>
    <w:rsid w:val="009F08E9"/>
    <w:rsid w:val="009F789F"/>
    <w:rsid w:val="00A02526"/>
    <w:rsid w:val="00A31E65"/>
    <w:rsid w:val="00A35B83"/>
    <w:rsid w:val="00A62293"/>
    <w:rsid w:val="00A7030E"/>
    <w:rsid w:val="00A73867"/>
    <w:rsid w:val="00A804A2"/>
    <w:rsid w:val="00A86E34"/>
    <w:rsid w:val="00AA2E17"/>
    <w:rsid w:val="00AA427C"/>
    <w:rsid w:val="00AB1F6B"/>
    <w:rsid w:val="00AE2314"/>
    <w:rsid w:val="00AF1230"/>
    <w:rsid w:val="00B13541"/>
    <w:rsid w:val="00B1712A"/>
    <w:rsid w:val="00B2751F"/>
    <w:rsid w:val="00B40F38"/>
    <w:rsid w:val="00B44146"/>
    <w:rsid w:val="00B873EB"/>
    <w:rsid w:val="00BB232E"/>
    <w:rsid w:val="00BB794C"/>
    <w:rsid w:val="00C03E7C"/>
    <w:rsid w:val="00C3622D"/>
    <w:rsid w:val="00CA0B3C"/>
    <w:rsid w:val="00CE2D5C"/>
    <w:rsid w:val="00CE3FA7"/>
    <w:rsid w:val="00CF2A22"/>
    <w:rsid w:val="00D005A3"/>
    <w:rsid w:val="00D12D64"/>
    <w:rsid w:val="00D4605D"/>
    <w:rsid w:val="00D519C8"/>
    <w:rsid w:val="00D60B92"/>
    <w:rsid w:val="00D71E89"/>
    <w:rsid w:val="00D93D8F"/>
    <w:rsid w:val="00D96B10"/>
    <w:rsid w:val="00DD4B24"/>
    <w:rsid w:val="00DF1B21"/>
    <w:rsid w:val="00E04723"/>
    <w:rsid w:val="00E2309B"/>
    <w:rsid w:val="00E26603"/>
    <w:rsid w:val="00E36897"/>
    <w:rsid w:val="00E370DB"/>
    <w:rsid w:val="00E63534"/>
    <w:rsid w:val="00E6634B"/>
    <w:rsid w:val="00E7487D"/>
    <w:rsid w:val="00E84F08"/>
    <w:rsid w:val="00F13FDA"/>
    <w:rsid w:val="00F275C6"/>
    <w:rsid w:val="00F27695"/>
    <w:rsid w:val="00F75931"/>
    <w:rsid w:val="00F90BAD"/>
    <w:rsid w:val="00F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2A1F"/>
  <w15:chartTrackingRefBased/>
  <w15:docId w15:val="{A181F6A9-7B7B-4E8F-A7CE-EBDDCEC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A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51C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51C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3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5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3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54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7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7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7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collegeunion.org/about-us/our-strategy-2017-20/valu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perialcollegeunion.org/about-us/our-plan-2013-1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73AA2-4975-4A7E-91EE-3C8C370D4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89D26-BCDA-459E-8F1B-ADB594EC425D}"/>
</file>

<file path=customXml/itemProps3.xml><?xml version="1.0" encoding="utf-8"?>
<ds:datastoreItem xmlns:ds="http://schemas.openxmlformats.org/officeDocument/2006/customXml" ds:itemID="{CF3D5307-9DE2-48FC-B10E-50DDF4070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48DA0D-3736-4B74-A4B8-376AD661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O'Hara, Jarlath H</cp:lastModifiedBy>
  <cp:revision>145</cp:revision>
  <dcterms:created xsi:type="dcterms:W3CDTF">2019-10-24T17:46:00Z</dcterms:created>
  <dcterms:modified xsi:type="dcterms:W3CDTF">2019-10-25T09:25:00Z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