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5FEDB3A5" w:rsidR="00B873EB" w:rsidRPr="00230674" w:rsidRDefault="000E7C78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30674" w:rsidRPr="0023067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Dec</w:t>
      </w:r>
      <w:r w:rsidR="00230674"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7C64A36E" w:rsidR="00B873EB" w:rsidRPr="00230674" w:rsidRDefault="001D4263" w:rsidP="00B873EB">
            <w:pPr>
              <w:jc w:val="center"/>
            </w:pPr>
            <w:r>
              <w:t>1</w:t>
            </w:r>
            <w:r w:rsidR="00780E94">
              <w:t>2</w:t>
            </w: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44757613" w:rsidR="00B873EB" w:rsidRPr="00230674" w:rsidRDefault="00780E94" w:rsidP="00B873EB">
            <w:pPr>
              <w:jc w:val="center"/>
            </w:pPr>
            <w:r>
              <w:t>Business Plan Update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55ECFD4A" w14:textId="77777777" w:rsidR="00B873EB" w:rsidRDefault="00411762" w:rsidP="00B873EB">
            <w:pPr>
              <w:jc w:val="center"/>
            </w:pPr>
            <w:r>
              <w:t xml:space="preserve">This paper highlights key points from October’s Balanced Scorecard and from progress to date on </w:t>
            </w:r>
            <w:r w:rsidR="00387D40">
              <w:t>Business Plan objectives.</w:t>
            </w:r>
          </w:p>
          <w:p w14:paraId="31EBD928" w14:textId="3FF69698" w:rsidR="00387D40" w:rsidRDefault="00387D40" w:rsidP="00B873EB">
            <w:pPr>
              <w:jc w:val="center"/>
            </w:pPr>
          </w:p>
          <w:p w14:paraId="71FC0E7F" w14:textId="6F688794" w:rsidR="00387D40" w:rsidRDefault="00387D40" w:rsidP="00B873EB">
            <w:pPr>
              <w:jc w:val="center"/>
            </w:pPr>
            <w:r>
              <w:t xml:space="preserve">Budget needs to be closely monitored and staff turnover remains higher than desired. </w:t>
            </w:r>
          </w:p>
          <w:p w14:paraId="182619BA" w14:textId="08B5A9D9" w:rsidR="00387D40" w:rsidRDefault="00387D40" w:rsidP="00B873EB">
            <w:pPr>
              <w:jc w:val="center"/>
            </w:pPr>
          </w:p>
          <w:p w14:paraId="3C41A2EE" w14:textId="038C8BB9" w:rsidR="00387D40" w:rsidRDefault="00387D40" w:rsidP="00B873EB">
            <w:pPr>
              <w:jc w:val="center"/>
            </w:pPr>
            <w:r>
              <w:t xml:space="preserve">Union 2020+ strategy </w:t>
            </w:r>
            <w:r w:rsidR="00233398">
              <w:t>requires a plan for taking this forward.</w:t>
            </w:r>
          </w:p>
          <w:p w14:paraId="104D2A2D" w14:textId="7FBDDD9D" w:rsidR="00387D40" w:rsidRPr="00230674" w:rsidRDefault="00387D40" w:rsidP="00B873EB">
            <w:pPr>
              <w:jc w:val="center"/>
            </w:pP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086EA0E6" w:rsidR="00B873EB" w:rsidRPr="00230674" w:rsidRDefault="00233398" w:rsidP="00B873EB">
            <w:pPr>
              <w:jc w:val="center"/>
            </w:pPr>
            <w:r>
              <w:t xml:space="preserve">To inform board of </w:t>
            </w:r>
            <w:r w:rsidR="00216B7D">
              <w:t>headlines from Balanced Scorecard and business plan by exception.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36512897" w:rsidR="00B873EB" w:rsidRPr="00230674" w:rsidRDefault="00216B7D" w:rsidP="00B873EB">
            <w:pPr>
              <w:jc w:val="center"/>
            </w:pPr>
            <w:r>
              <w:t xml:space="preserve">Discussion as required – no decision </w:t>
            </w:r>
            <w:r w:rsidR="00335EB0">
              <w:t>necessary.</w:t>
            </w:r>
            <w:bookmarkStart w:id="0" w:name="_GoBack"/>
            <w:bookmarkEnd w:id="0"/>
          </w:p>
        </w:tc>
      </w:tr>
    </w:tbl>
    <w:p w14:paraId="104D2A35" w14:textId="19F14313" w:rsidR="00B873EB" w:rsidRDefault="00B873EB" w:rsidP="00B873EB">
      <w:pPr>
        <w:jc w:val="center"/>
        <w:rPr>
          <w:color w:val="FF0000"/>
        </w:rPr>
      </w:pPr>
    </w:p>
    <w:p w14:paraId="57A6F4E9" w14:textId="3B0E73A6" w:rsidR="008445B1" w:rsidRDefault="008445B1">
      <w:pPr>
        <w:rPr>
          <w:color w:val="FF0000"/>
        </w:rPr>
      </w:pPr>
      <w:r>
        <w:rPr>
          <w:color w:val="FF0000"/>
        </w:rPr>
        <w:br w:type="page"/>
      </w:r>
    </w:p>
    <w:p w14:paraId="34777B73" w14:textId="427C901A" w:rsidR="008445B1" w:rsidRDefault="008445B1" w:rsidP="00B873EB">
      <w:pPr>
        <w:jc w:val="center"/>
        <w:rPr>
          <w:b/>
          <w:u w:val="single"/>
        </w:rPr>
      </w:pPr>
      <w:r w:rsidRPr="00574B2A">
        <w:rPr>
          <w:b/>
          <w:u w:val="single"/>
        </w:rPr>
        <w:lastRenderedPageBreak/>
        <w:t>Business Plan</w:t>
      </w:r>
      <w:r w:rsidR="00574B2A" w:rsidRPr="00574B2A">
        <w:rPr>
          <w:b/>
          <w:u w:val="single"/>
        </w:rPr>
        <w:t xml:space="preserve"> 19/20 Update</w:t>
      </w:r>
    </w:p>
    <w:p w14:paraId="3FB1004D" w14:textId="04654F0F" w:rsidR="00574B2A" w:rsidRDefault="00574B2A" w:rsidP="00574B2A"/>
    <w:p w14:paraId="4EA6870D" w14:textId="77777777" w:rsidR="0055141B" w:rsidRDefault="0055141B">
      <w:pPr>
        <w:rPr>
          <w:b/>
        </w:rPr>
      </w:pPr>
      <w:r w:rsidRPr="0055141B">
        <w:rPr>
          <w:b/>
        </w:rPr>
        <w:t>Introduction</w:t>
      </w:r>
    </w:p>
    <w:p w14:paraId="12393782" w14:textId="77777777" w:rsidR="00AB4E92" w:rsidRDefault="0055141B">
      <w:r>
        <w:t xml:space="preserve">Board adopted the </w:t>
      </w:r>
      <w:r w:rsidR="009B5969">
        <w:t xml:space="preserve">19/20 </w:t>
      </w:r>
      <w:r>
        <w:t>Business Plan</w:t>
      </w:r>
      <w:r w:rsidR="008664FB">
        <w:t xml:space="preserve"> </w:t>
      </w:r>
      <w:r w:rsidR="009B5969">
        <w:t xml:space="preserve">and reporting checkpoints in the October meeting. </w:t>
      </w:r>
      <w:r w:rsidR="00477B94">
        <w:t xml:space="preserve">The ‘headlines’ table is included at the end of this paper and the </w:t>
      </w:r>
      <w:r w:rsidR="00AB4E92">
        <w:t>detailed</w:t>
      </w:r>
      <w:r w:rsidR="00477B94">
        <w:t xml:space="preserve"> drill-down excel file</w:t>
      </w:r>
      <w:r w:rsidR="00AB4E92">
        <w:t xml:space="preserve"> is included as an Appendix.</w:t>
      </w:r>
    </w:p>
    <w:p w14:paraId="549DB442" w14:textId="57CAD5DE" w:rsidR="00AB4E92" w:rsidRDefault="005533F3">
      <w:r>
        <w:t>As noted, these objectives sit alongside our Balanced Scorecard in terms of monitoring performance.</w:t>
      </w:r>
      <w:r w:rsidR="000229B3">
        <w:t xml:space="preserve"> October’s Balanced Scorecard is also included at the end of this paper.</w:t>
      </w:r>
    </w:p>
    <w:p w14:paraId="04E5DC02" w14:textId="77777777" w:rsidR="005533F3" w:rsidRDefault="005533F3" w:rsidP="00BA109D"/>
    <w:p w14:paraId="7460ED8F" w14:textId="054E48A9" w:rsidR="00ED6845" w:rsidRDefault="00ED6845" w:rsidP="00BA109D">
      <w:pPr>
        <w:rPr>
          <w:b/>
        </w:rPr>
      </w:pPr>
      <w:r>
        <w:rPr>
          <w:b/>
        </w:rPr>
        <w:t>October Balanced Scorecard H</w:t>
      </w:r>
      <w:r w:rsidR="00C14D57">
        <w:rPr>
          <w:b/>
        </w:rPr>
        <w:t>eadlines</w:t>
      </w:r>
    </w:p>
    <w:p w14:paraId="0E46C62D" w14:textId="77777777" w:rsidR="003436BC" w:rsidRDefault="00632F98" w:rsidP="00BA109D">
      <w:r>
        <w:t>October’s results remain quite early in the year</w:t>
      </w:r>
      <w:r w:rsidR="008940D3">
        <w:t xml:space="preserve"> to build a complete picture of </w:t>
      </w:r>
      <w:r w:rsidR="00C14D57">
        <w:t>trends, but headlines from the Balanced Scorecard are</w:t>
      </w:r>
      <w:r w:rsidR="00370E12">
        <w:t>:</w:t>
      </w:r>
    </w:p>
    <w:p w14:paraId="6983B15A" w14:textId="637B3F17" w:rsidR="00194D99" w:rsidRDefault="00194D99" w:rsidP="00BA109D">
      <w:pPr>
        <w:pStyle w:val="ListParagraph"/>
        <w:numPr>
          <w:ilvl w:val="0"/>
          <w:numId w:val="5"/>
        </w:numPr>
      </w:pPr>
      <w:r>
        <w:t>Financial</w:t>
      </w:r>
    </w:p>
    <w:p w14:paraId="48361FA0" w14:textId="469F54C4" w:rsidR="00B149F2" w:rsidRDefault="00B149F2" w:rsidP="00194D99">
      <w:pPr>
        <w:pStyle w:val="ListParagraph"/>
        <w:numPr>
          <w:ilvl w:val="1"/>
          <w:numId w:val="5"/>
        </w:numPr>
      </w:pPr>
      <w:r>
        <w:t xml:space="preserve">Income is down £124,608 against budget and expenditure on staffing and other direct costs is down £194,237 against budget. </w:t>
      </w:r>
      <w:r w:rsidRPr="00C72390">
        <w:t>On a YTD basis the Union is ahead of budget by £69,629.</w:t>
      </w:r>
    </w:p>
    <w:p w14:paraId="5F6825CC" w14:textId="77777777" w:rsidR="00B149F2" w:rsidRDefault="00B149F2" w:rsidP="00194D99">
      <w:pPr>
        <w:pStyle w:val="ListParagraph"/>
        <w:numPr>
          <w:ilvl w:val="1"/>
          <w:numId w:val="5"/>
        </w:numPr>
      </w:pPr>
      <w:r>
        <w:t>Credit control days are at double the target rate and requires another concerted effort to reduce this again.</w:t>
      </w:r>
    </w:p>
    <w:p w14:paraId="7621FC3D" w14:textId="4F0E6A8F" w:rsidR="00194D99" w:rsidRDefault="00194D99" w:rsidP="00BA109D">
      <w:pPr>
        <w:pStyle w:val="ListParagraph"/>
        <w:numPr>
          <w:ilvl w:val="0"/>
          <w:numId w:val="5"/>
        </w:numPr>
      </w:pPr>
      <w:r>
        <w:t>Members</w:t>
      </w:r>
    </w:p>
    <w:p w14:paraId="397EF9CC" w14:textId="0A303305" w:rsidR="00B149F2" w:rsidRDefault="00B149F2" w:rsidP="00194D99">
      <w:pPr>
        <w:pStyle w:val="ListParagraph"/>
        <w:numPr>
          <w:ilvl w:val="1"/>
          <w:numId w:val="5"/>
        </w:numPr>
      </w:pPr>
      <w:r>
        <w:t>CSP memberships are tracking slightly (2%) behind last year</w:t>
      </w:r>
      <w:r w:rsidR="0037103F">
        <w:t>.</w:t>
      </w:r>
    </w:p>
    <w:p w14:paraId="2FC80FE5" w14:textId="538B41A6" w:rsidR="00BA109D" w:rsidRDefault="00B149F2" w:rsidP="00E650F9">
      <w:pPr>
        <w:pStyle w:val="ListParagraph"/>
        <w:numPr>
          <w:ilvl w:val="1"/>
          <w:numId w:val="5"/>
        </w:numPr>
      </w:pPr>
      <w:r>
        <w:t>Training attendance and satisfaction ar</w:t>
      </w:r>
      <w:r w:rsidR="00BA109D">
        <w:t>e</w:t>
      </w:r>
      <w:r w:rsidR="006A70E0">
        <w:t xml:space="preserve"> above target as expected early in the year as these figures decline over the </w:t>
      </w:r>
      <w:r w:rsidR="00C74B60">
        <w:t>year.</w:t>
      </w:r>
    </w:p>
    <w:p w14:paraId="74AC6A05" w14:textId="14926126" w:rsidR="00BA109D" w:rsidRDefault="00C74B60" w:rsidP="00E650F9">
      <w:pPr>
        <w:pStyle w:val="ListParagraph"/>
        <w:numPr>
          <w:ilvl w:val="1"/>
          <w:numId w:val="5"/>
        </w:numPr>
      </w:pPr>
      <w:r>
        <w:t xml:space="preserve">Our Autumn election turnout was a fantastic </w:t>
      </w:r>
      <w:r w:rsidR="00D46EFB">
        <w:t>success continuing to build</w:t>
      </w:r>
      <w:r w:rsidR="007F31FA">
        <w:t xml:space="preserve"> on last year.</w:t>
      </w:r>
    </w:p>
    <w:p w14:paraId="0DC193CF" w14:textId="77777777" w:rsidR="00E650F9" w:rsidRDefault="00E650F9" w:rsidP="00BA109D">
      <w:pPr>
        <w:pStyle w:val="ListParagraph"/>
        <w:numPr>
          <w:ilvl w:val="0"/>
          <w:numId w:val="5"/>
        </w:numPr>
      </w:pPr>
      <w:r>
        <w:t>Learning &amp; Growth</w:t>
      </w:r>
    </w:p>
    <w:p w14:paraId="4EA5B4B6" w14:textId="281A231B" w:rsidR="007F31FA" w:rsidRDefault="00F0504C" w:rsidP="00E650F9">
      <w:pPr>
        <w:pStyle w:val="ListParagraph"/>
        <w:numPr>
          <w:ilvl w:val="1"/>
          <w:numId w:val="5"/>
        </w:numPr>
      </w:pPr>
      <w:r>
        <w:t xml:space="preserve">Staff role occupancy is </w:t>
      </w:r>
      <w:r w:rsidR="009704C5">
        <w:t>92.3% therefore under our target 95%</w:t>
      </w:r>
      <w:r w:rsidR="00F0289E">
        <w:t>.</w:t>
      </w:r>
    </w:p>
    <w:p w14:paraId="518797C5" w14:textId="709513EF" w:rsidR="009704C5" w:rsidRDefault="009704C5" w:rsidP="00E650F9">
      <w:pPr>
        <w:pStyle w:val="ListParagraph"/>
        <w:numPr>
          <w:ilvl w:val="1"/>
          <w:numId w:val="5"/>
        </w:numPr>
      </w:pPr>
      <w:r>
        <w:t xml:space="preserve">Staff Retention rate is 61.7% </w:t>
      </w:r>
      <w:r w:rsidR="001B723B">
        <w:t>and therefore significantly under our</w:t>
      </w:r>
      <w:r w:rsidR="00F0289E">
        <w:t xml:space="preserve"> stated</w:t>
      </w:r>
      <w:r w:rsidR="001B723B">
        <w:t xml:space="preserve"> target of </w:t>
      </w:r>
      <w:r w:rsidR="00F0289E">
        <w:t>80%.</w:t>
      </w:r>
    </w:p>
    <w:p w14:paraId="222AB09D" w14:textId="43AB336C" w:rsidR="00F0289E" w:rsidRDefault="00D94AA7" w:rsidP="00E650F9">
      <w:pPr>
        <w:pStyle w:val="ListParagraph"/>
        <w:numPr>
          <w:ilvl w:val="1"/>
          <w:numId w:val="5"/>
        </w:numPr>
      </w:pPr>
      <w:r>
        <w:t xml:space="preserve">Sick days is within normal range and development (measured through A2Ts) is </w:t>
      </w:r>
      <w:r w:rsidR="00194D99">
        <w:t>at a reasonable level for this time of year.</w:t>
      </w:r>
    </w:p>
    <w:p w14:paraId="19E07E3E" w14:textId="63A31632" w:rsidR="00194D99" w:rsidRDefault="00E650F9" w:rsidP="00BA109D">
      <w:pPr>
        <w:pStyle w:val="ListParagraph"/>
        <w:numPr>
          <w:ilvl w:val="0"/>
          <w:numId w:val="5"/>
        </w:numPr>
      </w:pPr>
      <w:r>
        <w:t>Processes</w:t>
      </w:r>
    </w:p>
    <w:p w14:paraId="02976DE9" w14:textId="4C7E18F2" w:rsidR="00E650F9" w:rsidRDefault="00E650F9" w:rsidP="00E650F9">
      <w:pPr>
        <w:pStyle w:val="ListParagraph"/>
        <w:numPr>
          <w:ilvl w:val="1"/>
          <w:numId w:val="5"/>
        </w:numPr>
      </w:pPr>
      <w:r>
        <w:t>Incidents and inspections are on track</w:t>
      </w:r>
      <w:r w:rsidR="00D02FD3">
        <w:t xml:space="preserve"> for their respective targets</w:t>
      </w:r>
      <w:r>
        <w:t xml:space="preserve"> at this stage</w:t>
      </w:r>
      <w:r w:rsidR="00D02FD3">
        <w:t>.</w:t>
      </w:r>
    </w:p>
    <w:p w14:paraId="1C8FE15F" w14:textId="4365E1E5" w:rsidR="00D02FD3" w:rsidRDefault="00D02FD3" w:rsidP="00E650F9">
      <w:pPr>
        <w:pStyle w:val="ListParagraph"/>
        <w:numPr>
          <w:ilvl w:val="1"/>
          <w:numId w:val="5"/>
        </w:numPr>
      </w:pPr>
      <w:r>
        <w:t>Projects and initi</w:t>
      </w:r>
      <w:r w:rsidR="00B607F5">
        <w:t>atives are largely on track with</w:t>
      </w:r>
      <w:r w:rsidR="005303C0">
        <w:t xml:space="preserve"> exceptions included below.</w:t>
      </w:r>
    </w:p>
    <w:p w14:paraId="54C39231" w14:textId="77777777" w:rsidR="00BA109D" w:rsidRDefault="00BA109D" w:rsidP="00BA109D"/>
    <w:p w14:paraId="6B522FAD" w14:textId="77777777" w:rsidR="005303C0" w:rsidRPr="00632FBB" w:rsidRDefault="005303C0" w:rsidP="00632FBB">
      <w:pPr>
        <w:rPr>
          <w:b/>
        </w:rPr>
      </w:pPr>
      <w:r w:rsidRPr="00632FBB">
        <w:rPr>
          <w:b/>
        </w:rPr>
        <w:t>Objectives / Projects</w:t>
      </w:r>
    </w:p>
    <w:p w14:paraId="554CB2BD" w14:textId="77777777" w:rsidR="00632FBB" w:rsidRDefault="00D26214" w:rsidP="00632FBB">
      <w:r>
        <w:t>No</w:t>
      </w:r>
      <w:r w:rsidR="00DD6DE4">
        <w:t>ne</w:t>
      </w:r>
      <w:r>
        <w:t xml:space="preserve"> of the Business Plan objectives are due for completion or report </w:t>
      </w:r>
      <w:r w:rsidR="00DD6DE4">
        <w:t>within December. Here</w:t>
      </w:r>
      <w:r w:rsidR="00632FBB">
        <w:t xml:space="preserve"> I outline the objectives and projects which are off track or at greatest risk at this stage.</w:t>
      </w:r>
    </w:p>
    <w:p w14:paraId="7F74D92E" w14:textId="4600D60C" w:rsidR="00632FBB" w:rsidRDefault="000A7796" w:rsidP="00632FBB">
      <w:pPr>
        <w:pStyle w:val="ListParagraph"/>
        <w:numPr>
          <w:ilvl w:val="0"/>
          <w:numId w:val="6"/>
        </w:numPr>
      </w:pPr>
      <w:r>
        <w:t xml:space="preserve">Deliver on budget – on current information, we are tracking ahead of budget. It is our intention to table the latest (November) accounts in </w:t>
      </w:r>
      <w:r w:rsidR="003C7AFB">
        <w:t>board. The trend o</w:t>
      </w:r>
      <w:r w:rsidR="003A6EFF">
        <w:t xml:space="preserve">f being behind our income targets is set to continue as we are not providing a food service in either 568 or </w:t>
      </w:r>
      <w:proofErr w:type="spellStart"/>
      <w:r w:rsidR="003A6EFF">
        <w:t>Hbar</w:t>
      </w:r>
      <w:proofErr w:type="spellEnd"/>
      <w:r w:rsidR="003A6EFF">
        <w:t>.</w:t>
      </w:r>
    </w:p>
    <w:p w14:paraId="69BBE46C" w14:textId="77777777" w:rsidR="00632FBB" w:rsidRDefault="0074512D" w:rsidP="00632FBB">
      <w:pPr>
        <w:pStyle w:val="ListParagraph"/>
        <w:numPr>
          <w:ilvl w:val="0"/>
          <w:numId w:val="6"/>
        </w:numPr>
      </w:pPr>
      <w:r>
        <w:lastRenderedPageBreak/>
        <w:t>Systems pipeline remains under pressure as the team remains under capacity. Our newly appointed Systems Manager begins in the new year.</w:t>
      </w:r>
    </w:p>
    <w:p w14:paraId="0F65FE37" w14:textId="00CBA86A" w:rsidR="0074512D" w:rsidRDefault="009D2E4B" w:rsidP="0074512D">
      <w:pPr>
        <w:pStyle w:val="ListParagraph"/>
        <w:numPr>
          <w:ilvl w:val="0"/>
          <w:numId w:val="6"/>
        </w:numPr>
      </w:pPr>
      <w:r>
        <w:t xml:space="preserve">Health and Safety remains a focus area though we are on track to </w:t>
      </w:r>
      <w:r w:rsidR="002E64F0">
        <w:t>deliver the objective regarding policy renewal.</w:t>
      </w:r>
    </w:p>
    <w:p w14:paraId="20089179" w14:textId="7916777F" w:rsidR="002E64F0" w:rsidRDefault="006968B8" w:rsidP="0074512D">
      <w:pPr>
        <w:pStyle w:val="ListParagraph"/>
        <w:numPr>
          <w:ilvl w:val="0"/>
          <w:numId w:val="6"/>
        </w:numPr>
      </w:pPr>
      <w:r>
        <w:t>Staff wellbeing remains on target at this stage – our</w:t>
      </w:r>
      <w:r w:rsidR="00B14C84">
        <w:t xml:space="preserve"> pulse-check</w:t>
      </w:r>
      <w:r>
        <w:t xml:space="preserve"> survey will be completed prior to Christmas</w:t>
      </w:r>
      <w:r w:rsidR="00B14C84">
        <w:t>.</w:t>
      </w:r>
    </w:p>
    <w:p w14:paraId="6DF32BA9" w14:textId="7AFE672E" w:rsidR="00B14C84" w:rsidRDefault="0053456E" w:rsidP="0074512D">
      <w:pPr>
        <w:pStyle w:val="ListParagraph"/>
        <w:numPr>
          <w:ilvl w:val="0"/>
          <w:numId w:val="6"/>
        </w:numPr>
      </w:pPr>
      <w:r>
        <w:t>Further work around embedding project management has been paused</w:t>
      </w:r>
      <w:r w:rsidR="00404450">
        <w:t>.</w:t>
      </w:r>
    </w:p>
    <w:p w14:paraId="7CBDCC55" w14:textId="1C8036A7" w:rsidR="0074512D" w:rsidRPr="005303C0" w:rsidRDefault="00B478B5" w:rsidP="0074512D">
      <w:pPr>
        <w:pStyle w:val="ListParagraph"/>
        <w:numPr>
          <w:ilvl w:val="0"/>
          <w:numId w:val="6"/>
        </w:numPr>
        <w:sectPr w:rsidR="0074512D" w:rsidRPr="005303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Union</w:t>
      </w:r>
      <w:r w:rsidR="00387D40">
        <w:t xml:space="preserve"> 2020+</w:t>
      </w:r>
      <w:r>
        <w:t xml:space="preserve"> Strategy - though some related strands of work and co</w:t>
      </w:r>
      <w:r w:rsidR="00F47E6B">
        <w:t>nversations with students have continued, this does not currently have an agreed pa</w:t>
      </w:r>
      <w:r w:rsidR="00411762">
        <w:t>th for the larger piece of work.</w:t>
      </w:r>
    </w:p>
    <w:p w14:paraId="71DDF8DF" w14:textId="632310E2" w:rsidR="00574B2A" w:rsidRPr="00A468C7" w:rsidRDefault="00A468C7" w:rsidP="00574B2A">
      <w:pPr>
        <w:rPr>
          <w:b/>
        </w:rPr>
      </w:pPr>
      <w:r w:rsidRPr="00A468C7">
        <w:rPr>
          <w:b/>
        </w:rPr>
        <w:lastRenderedPageBreak/>
        <w:t>October Balanced Scorecard</w:t>
      </w:r>
    </w:p>
    <w:p w14:paraId="3710963C" w14:textId="0D0CC68F" w:rsidR="00C67C84" w:rsidRDefault="00DE0567" w:rsidP="00574B2A">
      <w:r w:rsidRPr="00DE0567">
        <w:drawing>
          <wp:inline distT="0" distB="0" distL="0" distR="0" wp14:anchorId="6EB0C24A" wp14:editId="5A0ACDCF">
            <wp:extent cx="9553813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912" cy="366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E5C8" w14:textId="5BBA1B74" w:rsidR="00C67C84" w:rsidRPr="005303C0" w:rsidRDefault="005303C0" w:rsidP="00574B2A">
      <w:pPr>
        <w:rPr>
          <w:b/>
        </w:rPr>
      </w:pPr>
      <w:r w:rsidRPr="005303C0">
        <w:rPr>
          <w:b/>
        </w:rPr>
        <w:t>Business Plan Objectives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2972"/>
        <w:gridCol w:w="6643"/>
        <w:gridCol w:w="1029"/>
        <w:gridCol w:w="4665"/>
      </w:tblGrid>
      <w:tr w:rsidR="00574B2A" w:rsidRPr="00FB2E97" w14:paraId="44D1643D" w14:textId="77777777" w:rsidTr="003351A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383A724D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Project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353FB77C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Success Measure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6EDCC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Deadline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001871C6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Reporting checkpoints</w:t>
            </w:r>
          </w:p>
        </w:tc>
      </w:tr>
      <w:tr w:rsidR="00574B2A" w:rsidRPr="00FB2E97" w14:paraId="7A431941" w14:textId="77777777" w:rsidTr="003351A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</w:tcPr>
          <w:p w14:paraId="2FFF518D" w14:textId="77777777" w:rsidR="00574B2A" w:rsidRPr="007F3769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Laying the right Foundations: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</w:tcPr>
          <w:p w14:paraId="70E86A1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F3A9BFF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</w:tcPr>
          <w:p w14:paraId="267F3C9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</w:tr>
      <w:tr w:rsidR="00574B2A" w:rsidRPr="00FB2E97" w14:paraId="24058448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7B2CD49C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Deliver on Budget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1E56A93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Achieve overall budget for the year; Early warning System in use at Leadership.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362D4B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E747051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Monthly email reports to Board. Focus at each F&amp;R, fed to Board via F&amp;R minutes.</w:t>
            </w:r>
          </w:p>
        </w:tc>
      </w:tr>
      <w:tr w:rsidR="00574B2A" w:rsidRPr="00FB2E97" w14:paraId="3B04CF82" w14:textId="77777777" w:rsidTr="003351A7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2B0821F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Audit and Commercial Services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87C8912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Audit recommendations complete, GPs are achieved; </w:t>
            </w:r>
            <w:proofErr w:type="gramStart"/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3 star</w:t>
            </w:r>
            <w:proofErr w:type="gramEnd"/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hygiene rating returned; SOPs followed according to Audit report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A35F04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281076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F&amp;R: Ext. Audit - Oct; GPs monthly; Int. Audit - May</w:t>
            </w:r>
          </w:p>
        </w:tc>
      </w:tr>
      <w:tr w:rsidR="00574B2A" w:rsidRPr="00FB2E97" w14:paraId="22606BB2" w14:textId="77777777" w:rsidTr="003351A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2997BB4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Implement Efficient Processes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52B7B3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Partner engaged; results brought to F&amp;R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21AF43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Mar-20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74D7A79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Each F&amp;R</w:t>
            </w:r>
          </w:p>
        </w:tc>
      </w:tr>
      <w:tr w:rsidR="00574B2A" w:rsidRPr="00FB2E97" w14:paraId="6DB01288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6810492E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Deliver Systems Pipeline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3D4486B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Projects completed as per Systems Pipeline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EB217E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470927A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Milestones per project as per Systems Pipeline - reported by exception.</w:t>
            </w:r>
          </w:p>
        </w:tc>
      </w:tr>
      <w:tr w:rsidR="00574B2A" w:rsidRPr="00FB2E97" w14:paraId="7E2950B2" w14:textId="77777777" w:rsidTr="003351A7">
        <w:trPr>
          <w:trHeight w:val="2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6C3DECC" w14:textId="77777777" w:rsidR="00574B2A" w:rsidRPr="007F3769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Creating a great Culture: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347077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06F5FB0F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25AD232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574B2A" w:rsidRPr="00FB2E97" w14:paraId="36053B11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209C736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H&amp;S Policy and step change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C2C108D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Agree new H&amp;S policy by 5 February (F&amp;R); New Reporting mechanism agreed and implemented; Promote new College app for reporting near misses leading to a 100% uplift in reporting within 6 months of launch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83B1F5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Feb-20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44F01D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Policy &amp; Reporting - Feb F&amp;R; Near misses via Board reports - July 20</w:t>
            </w:r>
          </w:p>
        </w:tc>
      </w:tr>
      <w:tr w:rsidR="00574B2A" w:rsidRPr="00FB2E97" w14:paraId="6758BB4E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1B7BEFD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Prioritise and track Wellbeing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126B227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Metrics identified; targets achieved.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8D2529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5D7800F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PARC: Staff Survey Plan 11th Oct; Metrics and targets agreed Nov, reported each PARC</w:t>
            </w:r>
          </w:p>
        </w:tc>
      </w:tr>
      <w:tr w:rsidR="00574B2A" w:rsidRPr="00FB2E97" w14:paraId="013BB569" w14:textId="77777777" w:rsidTr="003351A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521682EA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Strong Project Management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4A9343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80% of staff say this is embedded in end of year survey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44AFFE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8207BD7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PARC: End of year survey results</w:t>
            </w:r>
          </w:p>
        </w:tc>
      </w:tr>
      <w:tr w:rsidR="00574B2A" w:rsidRPr="00FB2E97" w14:paraId="546C56DF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6AAB298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Training Review across the Union.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36401B9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Learning, Development and recognition strategy approved by Board. Potentially as part of Union Strategy.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A2DC90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8F46FA7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Board at end of year, Strategy sub-group if this emerges as a strategy theme.</w:t>
            </w:r>
          </w:p>
        </w:tc>
      </w:tr>
      <w:tr w:rsidR="00574B2A" w:rsidRPr="00FB2E97" w14:paraId="02E34F92" w14:textId="77777777" w:rsidTr="003351A7">
        <w:trPr>
          <w:trHeight w:val="55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B4D96EE" w14:textId="77777777" w:rsidR="00574B2A" w:rsidRPr="007F3769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Improving Pathways to Engagement: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AA4143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13A816BD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327D1033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574B2A" w:rsidRPr="00FB2E97" w14:paraId="5E11B4F7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5703BC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New Union Strategy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DB118EF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Strategy is launched with funding secured and aligned with SMART objectives.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164DAF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8AF09A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Progress monitored by Strategy Sub-Group and reported to each Board meeting.</w:t>
            </w:r>
          </w:p>
        </w:tc>
      </w:tr>
      <w:tr w:rsidR="00574B2A" w:rsidRPr="00FB2E97" w14:paraId="001398E4" w14:textId="77777777" w:rsidTr="003351A7">
        <w:trPr>
          <w:trHeight w:val="12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68584025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Communications Strategy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1CA1B22C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Higher engagement across flagship programmes; Higher SES awareness scores for Social Enterprise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3CF697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7CC9F99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Sept 19 - strategy at Communications Committee; SES results - March; Election / other results ongoing</w:t>
            </w:r>
          </w:p>
        </w:tc>
      </w:tr>
      <w:tr w:rsidR="00574B2A" w:rsidRPr="00FB2E97" w14:paraId="5ABE2443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ADD0107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Postgraduate Engagement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5B7D24BD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Growth across the Union for the metrics of major programmes, projects and events; PRES/PTES satisfaction scores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F73AD2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99881F4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Governance / Communication sub-committees as appropriate. Key outcomes to Board.</w:t>
            </w:r>
          </w:p>
        </w:tc>
      </w:tr>
      <w:tr w:rsidR="00574B2A" w:rsidRPr="00FB2E97" w14:paraId="00DD9FDA" w14:textId="77777777" w:rsidTr="003351A7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B820823" w14:textId="77777777" w:rsidR="00574B2A" w:rsidRPr="007F3769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Strengthening Representation of our Values: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67F12D6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640279B3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4E03BFB0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574B2A" w:rsidRPr="00FB2E97" w14:paraId="00603DAD" w14:textId="77777777" w:rsidTr="003351A7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14A2AA9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Representation on College Committees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55385A4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Expanded representation of students as well as appropriate staff in College committees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3AA744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52FA881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Report to Board by end of Year</w:t>
            </w:r>
          </w:p>
        </w:tc>
      </w:tr>
      <w:tr w:rsidR="00574B2A" w:rsidRPr="00FB2E97" w14:paraId="352011BD" w14:textId="77777777" w:rsidTr="003351A7">
        <w:trPr>
          <w:trHeight w:val="1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72ABD0A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Review the Wellbeing Representation Network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DA2DC0A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 full review for the WBRN produced and a paper presented to Board of Trustees outlining review and suggested changes.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E01E5A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Feb-20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FF92C2A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Review conducted by end of Term 1 with the involvement of CWB. Any changes must be made by Council in time for the Leadership Elections 2020.</w:t>
            </w:r>
          </w:p>
        </w:tc>
      </w:tr>
      <w:tr w:rsidR="00574B2A" w:rsidRPr="00FB2E97" w14:paraId="02836155" w14:textId="77777777" w:rsidTr="003351A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A554844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Holding College accountable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4C232EB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Demonstrable changes to College strategy, policy, services and actions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282F85" w14:textId="77777777" w:rsidR="00574B2A" w:rsidRPr="00FB2E97" w:rsidRDefault="00574B2A" w:rsidP="004D28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5B3EC77" w14:textId="77777777" w:rsidR="00574B2A" w:rsidRPr="00FB2E97" w:rsidRDefault="00574B2A" w:rsidP="004D2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Reported to Board on ad-hoc basis, generally as part of OT reports</w:t>
            </w:r>
          </w:p>
        </w:tc>
      </w:tr>
    </w:tbl>
    <w:p w14:paraId="14FFE680" w14:textId="77777777" w:rsidR="00574B2A" w:rsidRPr="00574B2A" w:rsidRDefault="00574B2A" w:rsidP="0045778B"/>
    <w:sectPr w:rsidR="00574B2A" w:rsidRPr="00574B2A" w:rsidSect="00A468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673"/>
    <w:multiLevelType w:val="hybridMultilevel"/>
    <w:tmpl w:val="3DB4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60C"/>
    <w:multiLevelType w:val="hybridMultilevel"/>
    <w:tmpl w:val="FDE0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7AF"/>
    <w:multiLevelType w:val="hybridMultilevel"/>
    <w:tmpl w:val="D5EEC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5041C"/>
    <w:multiLevelType w:val="hybridMultilevel"/>
    <w:tmpl w:val="863A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711A1"/>
    <w:multiLevelType w:val="hybridMultilevel"/>
    <w:tmpl w:val="0982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6EAC"/>
    <w:multiLevelType w:val="hybridMultilevel"/>
    <w:tmpl w:val="3446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229B3"/>
    <w:rsid w:val="000802ED"/>
    <w:rsid w:val="000A7796"/>
    <w:rsid w:val="000E7C78"/>
    <w:rsid w:val="00173B36"/>
    <w:rsid w:val="00194D99"/>
    <w:rsid w:val="001B723B"/>
    <w:rsid w:val="001D4263"/>
    <w:rsid w:val="00216B7D"/>
    <w:rsid w:val="00230674"/>
    <w:rsid w:val="00233398"/>
    <w:rsid w:val="002E64F0"/>
    <w:rsid w:val="003351A7"/>
    <w:rsid w:val="00335EB0"/>
    <w:rsid w:val="00341BB8"/>
    <w:rsid w:val="003436BC"/>
    <w:rsid w:val="00370E12"/>
    <w:rsid w:val="0037103F"/>
    <w:rsid w:val="00387D40"/>
    <w:rsid w:val="003A6EFF"/>
    <w:rsid w:val="003A7B1F"/>
    <w:rsid w:val="003C160A"/>
    <w:rsid w:val="003C7AFB"/>
    <w:rsid w:val="00404450"/>
    <w:rsid w:val="00411762"/>
    <w:rsid w:val="00425558"/>
    <w:rsid w:val="0045778B"/>
    <w:rsid w:val="00477B94"/>
    <w:rsid w:val="005303C0"/>
    <w:rsid w:val="0053456E"/>
    <w:rsid w:val="0055141B"/>
    <w:rsid w:val="005529D8"/>
    <w:rsid w:val="005533F3"/>
    <w:rsid w:val="00574B2A"/>
    <w:rsid w:val="005F7EF1"/>
    <w:rsid w:val="00632F98"/>
    <w:rsid w:val="00632FBB"/>
    <w:rsid w:val="006968B8"/>
    <w:rsid w:val="006A70E0"/>
    <w:rsid w:val="0074512D"/>
    <w:rsid w:val="00780E94"/>
    <w:rsid w:val="007F31FA"/>
    <w:rsid w:val="00823CBC"/>
    <w:rsid w:val="008445B1"/>
    <w:rsid w:val="00844C82"/>
    <w:rsid w:val="008664FB"/>
    <w:rsid w:val="00873B2D"/>
    <w:rsid w:val="008940D3"/>
    <w:rsid w:val="008F54D7"/>
    <w:rsid w:val="009704C5"/>
    <w:rsid w:val="009B5969"/>
    <w:rsid w:val="009D2E4B"/>
    <w:rsid w:val="00A13800"/>
    <w:rsid w:val="00A468C7"/>
    <w:rsid w:val="00AB4E92"/>
    <w:rsid w:val="00B149F2"/>
    <w:rsid w:val="00B14C84"/>
    <w:rsid w:val="00B17993"/>
    <w:rsid w:val="00B478B5"/>
    <w:rsid w:val="00B607F5"/>
    <w:rsid w:val="00B873EB"/>
    <w:rsid w:val="00BA109D"/>
    <w:rsid w:val="00C14D57"/>
    <w:rsid w:val="00C51D2C"/>
    <w:rsid w:val="00C57B94"/>
    <w:rsid w:val="00C67C84"/>
    <w:rsid w:val="00C72390"/>
    <w:rsid w:val="00C74B60"/>
    <w:rsid w:val="00CC6C35"/>
    <w:rsid w:val="00D02FD3"/>
    <w:rsid w:val="00D23F1E"/>
    <w:rsid w:val="00D26214"/>
    <w:rsid w:val="00D46EFB"/>
    <w:rsid w:val="00D94AA7"/>
    <w:rsid w:val="00DD6DE4"/>
    <w:rsid w:val="00DE0567"/>
    <w:rsid w:val="00E45A2D"/>
    <w:rsid w:val="00E650F9"/>
    <w:rsid w:val="00E7565F"/>
    <w:rsid w:val="00EB3BDC"/>
    <w:rsid w:val="00ED6845"/>
    <w:rsid w:val="00EF4F9B"/>
    <w:rsid w:val="00F0289E"/>
    <w:rsid w:val="00F0504C"/>
    <w:rsid w:val="00F47E6B"/>
    <w:rsid w:val="00F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0E12"/>
    <w:pPr>
      <w:ind w:left="720"/>
      <w:contextualSpacing/>
    </w:pPr>
  </w:style>
  <w:style w:type="paragraph" w:styleId="NoSpacing">
    <w:name w:val="No Spacing"/>
    <w:uiPriority w:val="1"/>
    <w:qFormat/>
    <w:rsid w:val="00632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E2F83-7C4B-4A11-895E-C4182E875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77</cp:revision>
  <dcterms:created xsi:type="dcterms:W3CDTF">2019-12-03T15:24:00Z</dcterms:created>
  <dcterms:modified xsi:type="dcterms:W3CDTF">2019-12-04T15:00:00Z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